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深圳实验学校初中部生物显微镜采购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67</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2"/>
        <w:rPr>
          <w:rFonts w:hint="eastAsia"/>
        </w:rPr>
      </w:pPr>
      <w:r>
        <w:rPr>
          <w:rFonts w:hint="eastAsia"/>
        </w:rPr>
        <w:t>第一章  项目评审信息</w:t>
      </w:r>
    </w:p>
    <w:p>
      <w:pPr>
        <w:adjustRightInd w:val="0"/>
        <w:snapToGrid w:val="0"/>
        <w:spacing w:line="360" w:lineRule="auto"/>
        <w:rPr>
          <w:rFonts w:hint="default" w:ascii="宋体" w:hAnsi="宋体" w:eastAsia="宋体" w:cs="宋体"/>
          <w:szCs w:val="21"/>
          <w:highlight w:val="yellow"/>
          <w:lang w:val="en-US" w:eastAsia="zh-CN"/>
        </w:rPr>
      </w:pPr>
      <w:r>
        <w:rPr>
          <w:rFonts w:hint="eastAsia" w:ascii="宋体" w:hAnsi="宋体" w:cs="宋体"/>
          <w:szCs w:val="21"/>
        </w:rPr>
        <w:t xml:space="preserve">      项目编号：  SZSYCG202</w:t>
      </w:r>
      <w:r>
        <w:rPr>
          <w:rFonts w:ascii="宋体" w:hAnsi="宋体" w:cs="宋体"/>
          <w:szCs w:val="21"/>
        </w:rPr>
        <w:t>10</w:t>
      </w:r>
      <w:r>
        <w:rPr>
          <w:rFonts w:hint="eastAsia" w:ascii="宋体" w:hAnsi="宋体" w:cs="宋体"/>
          <w:szCs w:val="21"/>
          <w:lang w:val="en-US" w:eastAsia="zh-CN"/>
        </w:rPr>
        <w:t>67</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深圳实验学校初中部生物显微镜采购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default" w:ascii="宋体" w:hAnsi="宋体" w:eastAsia="宋体" w:cs="宋体"/>
          <w:szCs w:val="21"/>
          <w:lang w:val="en-US" w:eastAsia="zh-CN"/>
        </w:rPr>
      </w:pPr>
      <w:r>
        <w:rPr>
          <w:rFonts w:hint="eastAsia" w:ascii="宋体" w:hAnsi="宋体" w:cs="宋体"/>
          <w:szCs w:val="21"/>
          <w:lang w:val="en-US" w:eastAsia="zh-CN"/>
        </w:rPr>
        <w:t xml:space="preserve">      资金来源：  财政资金</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5"/>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5"/>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5"/>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5"/>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报价汇总表"/>
      <w:bookmarkEnd w:id="3"/>
      <w:bookmarkStart w:id="4" w:name="bt其他资料2"/>
      <w:bookmarkEnd w:id="4"/>
      <w:bookmarkStart w:id="5" w:name="bt合同条款"/>
      <w:bookmarkEnd w:id="5"/>
      <w:bookmarkStart w:id="6" w:name="bt投标人情况介绍"/>
      <w:bookmarkEnd w:id="6"/>
      <w:bookmarkStart w:id="7" w:name="bt开标一览表"/>
      <w:bookmarkEnd w:id="7"/>
      <w:bookmarkStart w:id="8" w:name="bt说明"/>
      <w:bookmarkEnd w:id="8"/>
      <w:bookmarkStart w:id="9" w:name="bt商务标投标文件格式"/>
      <w:bookmarkEnd w:id="9"/>
      <w:bookmarkStart w:id="10" w:name="bt合同条款及格式"/>
      <w:bookmarkEnd w:id="10"/>
      <w:bookmarkStart w:id="11" w:name="合同格式"/>
      <w:bookmarkEnd w:id="11"/>
      <w:bookmarkStart w:id="12" w:name="bt投标函"/>
      <w:bookmarkEnd w:id="12"/>
      <w:bookmarkStart w:id="13" w:name="bt合同格式"/>
      <w:bookmarkEnd w:id="13"/>
      <w:bookmarkStart w:id="14" w:name="bt投标文件签署授权委托书"/>
      <w:bookmarkEnd w:id="14"/>
      <w:bookmarkStart w:id="15" w:name="bt项目管理班子配备情况"/>
      <w:bookmarkEnd w:id="15"/>
      <w:bookmarkStart w:id="16" w:name="bt其他资料由投标人自定"/>
      <w:bookmarkEnd w:id="16"/>
      <w:bookmarkStart w:id="17" w:name="bt技术标投标文件格式"/>
      <w:bookmarkEnd w:id="17"/>
      <w:bookmarkStart w:id="18" w:name="bt投标人须知"/>
      <w:bookmarkEnd w:id="18"/>
      <w:bookmarkStart w:id="19" w:name="bt本工程承诺书"/>
      <w:bookmarkEnd w:id="19"/>
    </w:p>
    <w:p>
      <w:pPr>
        <w:pStyle w:val="2"/>
        <w:rPr>
          <w:rFonts w:hint="eastAsia"/>
        </w:rPr>
      </w:pPr>
      <w:r>
        <w:rPr>
          <w:rFonts w:hint="eastAsia"/>
        </w:rPr>
        <w:t>第二章  项目需求</w:t>
      </w:r>
    </w:p>
    <w:p>
      <w:pPr>
        <w:pStyle w:val="5"/>
        <w:spacing w:before="120" w:beforeLines="50" w:after="120" w:afterLines="50"/>
        <w:rPr>
          <w:rFonts w:hint="eastAsia" w:cs="宋体"/>
          <w:szCs w:val="28"/>
        </w:rPr>
      </w:pPr>
      <w:bookmarkStart w:id="20" w:name="_Toc60631620"/>
      <w:bookmarkStart w:id="21" w:name="_Toc73517639"/>
      <w:bookmarkStart w:id="22" w:name="_Toc73521635"/>
      <w:bookmarkStart w:id="23" w:name="_Toc100052364"/>
      <w:bookmarkStart w:id="24" w:name="_Toc101074876"/>
      <w:bookmarkStart w:id="25" w:name="_Toc73521547"/>
      <w:bookmarkStart w:id="26" w:name="_Toc73518117"/>
      <w:bookmarkStart w:id="27" w:name="_Toc6056062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深圳实验学校初中部生物显微镜采购</w:t>
      </w:r>
      <w:r>
        <w:rPr>
          <w:rFonts w:hint="eastAsia" w:ascii="宋体" w:hAnsi="宋体" w:cs="宋体"/>
          <w:szCs w:val="21"/>
        </w:rPr>
        <w:t>。</w:t>
      </w:r>
    </w:p>
    <w:p>
      <w:pPr>
        <w:rPr>
          <w:rFonts w:hint="eastAsia" w:ascii="宋体" w:hAnsi="宋体" w:cs="宋体"/>
          <w:szCs w:val="21"/>
        </w:rPr>
      </w:pPr>
    </w:p>
    <w:p>
      <w:pPr>
        <w:pStyle w:val="5"/>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lang w:val="en-US" w:eastAsia="zh-CN"/>
              </w:rPr>
              <w:t>学生</w:t>
            </w:r>
            <w:r>
              <w:rPr>
                <w:rFonts w:hint="eastAsia" w:ascii="Tahoma" w:hAnsi="Tahoma" w:eastAsia="等线" w:cs="Tahoma"/>
                <w:kern w:val="0"/>
                <w:sz w:val="20"/>
                <w:szCs w:val="20"/>
              </w:rPr>
              <w:t>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43</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restart"/>
            <w:noWrap w:val="0"/>
            <w:vAlign w:val="center"/>
          </w:tcPr>
          <w:p>
            <w:pPr>
              <w:jc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199700</w:t>
            </w: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58" w:type="dxa"/>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jc w:val="center"/>
              <w:rPr>
                <w:rFonts w:hint="eastAsia" w:ascii="宋体" w:hAnsi="宋体" w:eastAsia="宋体" w:cs="宋体"/>
                <w:color w:val="000000"/>
                <w:kern w:val="0"/>
                <w:sz w:val="21"/>
                <w:szCs w:val="21"/>
                <w:lang w:val="en-US" w:eastAsia="zh-CN" w:bidi="ar-SA"/>
              </w:rPr>
            </w:pPr>
            <w:r>
              <w:rPr>
                <w:rFonts w:hint="eastAsia" w:ascii="Tahoma" w:hAnsi="Tahoma" w:eastAsia="等线" w:cs="Tahoma"/>
                <w:kern w:val="0"/>
                <w:sz w:val="20"/>
                <w:szCs w:val="20"/>
                <w:lang w:val="en-US" w:eastAsia="zh-CN"/>
              </w:rPr>
              <w:t>教师</w:t>
            </w:r>
            <w:r>
              <w:rPr>
                <w:rFonts w:hint="eastAsia" w:ascii="Tahoma" w:hAnsi="Tahoma" w:eastAsia="等线" w:cs="Tahoma"/>
                <w:kern w:val="0"/>
                <w:sz w:val="20"/>
                <w:szCs w:val="20"/>
              </w:rPr>
              <w:t>显微镜</w:t>
            </w:r>
          </w:p>
        </w:tc>
        <w:tc>
          <w:tcPr>
            <w:tcW w:w="1017"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100" w:type="dxa"/>
            <w:noWrap w:val="0"/>
            <w:vAlign w:val="center"/>
          </w:tcPr>
          <w:p>
            <w:pPr>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台</w:t>
            </w:r>
          </w:p>
        </w:tc>
        <w:tc>
          <w:tcPr>
            <w:tcW w:w="1733" w:type="dxa"/>
            <w:vMerge w:val="continue"/>
            <w:noWrap w:val="0"/>
            <w:vAlign w:val="top"/>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4"/>
                <w:szCs w:val="24"/>
                <w:u w:val="none"/>
                <w:lang w:val="en-US" w:eastAsia="zh-CN" w:bidi="ar"/>
              </w:rPr>
            </w:pPr>
          </w:p>
        </w:tc>
        <w:tc>
          <w:tcPr>
            <w:tcW w:w="957" w:type="dxa"/>
            <w:vMerge w:val="continue"/>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24"/>
                <w:szCs w:val="24"/>
                <w:u w:val="none"/>
                <w:lang w:val="en-US" w:eastAsia="zh-CN" w:bidi="ar"/>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5"/>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9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639"/>
        <w:gridCol w:w="69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639"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6971"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1</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lang w:val="en-US" w:eastAsia="zh-CN"/>
              </w:rPr>
              <w:t>学生</w:t>
            </w:r>
            <w:r>
              <w:rPr>
                <w:rFonts w:hint="eastAsia" w:ascii="Tahoma" w:hAnsi="Tahoma" w:eastAsia="等线" w:cs="Tahoma"/>
                <w:kern w:val="0"/>
                <w:sz w:val="20"/>
                <w:szCs w:val="20"/>
              </w:rPr>
              <w:t>显微镜</w:t>
            </w:r>
          </w:p>
        </w:tc>
        <w:tc>
          <w:tcPr>
            <w:tcW w:w="6971" w:type="dxa"/>
            <w:noWrap w:val="0"/>
            <w:vAlign w:val="center"/>
          </w:tcPr>
          <w:tbl>
            <w:tblPr>
              <w:tblStyle w:val="40"/>
              <w:tblW w:w="105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5688"/>
              <w:gridCol w:w="33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输出分辨率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1920*1080P</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帧率</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1920*1080@60FPS</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像素</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3800万像素</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芯片大小</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1/3′彩色</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存储方式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16GBTF卡</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操作方式</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相机上方按键操作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功能</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图像拍照/录制冻结/对比、十字线</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放大倍数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光学放大：40X</w:t>
                  </w:r>
                  <w:bookmarkStart w:id="30" w:name="_GoBack"/>
                  <w:r>
                    <w:rPr>
                      <w:rFonts w:hint="eastAsia" w:ascii="宋体" w:hAnsi="宋体" w:eastAsia="宋体" w:cs="宋体"/>
                      <w:color w:val="auto"/>
                      <w:sz w:val="21"/>
                      <w:szCs w:val="21"/>
                    </w:rPr>
                    <w:t>~</w:t>
                  </w:r>
                  <w:bookmarkEnd w:id="30"/>
                  <w:r>
                    <w:rPr>
                      <w:rFonts w:hint="eastAsia" w:ascii="宋体" w:hAnsi="宋体" w:eastAsia="宋体" w:cs="宋体"/>
                      <w:color w:val="auto"/>
                      <w:sz w:val="21"/>
                      <w:szCs w:val="21"/>
                    </w:rPr>
                    <w:t>1000X，电子放大：400X~8000X</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大视野WF10X(视场数Φ22mm)、20X目镜</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物镜</w:t>
                  </w:r>
                </w:p>
              </w:tc>
              <w:tc>
                <w:tcPr>
                  <w:tcW w:w="5688"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无限远平场消色差PL100X/1.25</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目镜筒</w:t>
                  </w:r>
                </w:p>
              </w:tc>
              <w:tc>
                <w:tcPr>
                  <w:tcW w:w="5688"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双目镜(倾斜30度)，眼点高度可调、三目镜(倾斜30度)，眼点高度可调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Tahoma" w:hAnsi="Tahoma" w:eastAsia="等线" w:cs="Tahoma"/>
                      <w:kern w:val="0"/>
                      <w:sz w:val="20"/>
                      <w:szCs w:val="20"/>
                      <w:vertAlign w:val="baseline"/>
                      <w:lang w:val="en-US" w:eastAsia="zh-CN" w:bidi="ar-SA"/>
                    </w:rPr>
                  </w:pPr>
                  <w:r>
                    <w:rPr>
                      <w:rFonts w:hint="eastAsia" w:ascii="宋体" w:hAnsi="宋体" w:eastAsia="宋体" w:cs="宋体"/>
                      <w:color w:val="auto"/>
                      <w:sz w:val="21"/>
                      <w:szCs w:val="21"/>
                    </w:rPr>
                    <w:t>调焦机构</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粗微动同轴调焦，带锁紧和限位装置，微动格值:2um.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转换器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四孔(内向式滚珠内定位)。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载物台。</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双层机械移动式：182mmX140mm，移动范范75mmX50mm</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阿贝聚光镜</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N.A.1.25可上下升降</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集光器</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集光镜中内置视场光阑</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光源</w:t>
                  </w:r>
                </w:p>
              </w:tc>
              <w:tc>
                <w:tcPr>
                  <w:tcW w:w="5688" w:type="dxa"/>
                  <w:vAlign w:val="center"/>
                </w:tcPr>
                <w:p>
                  <w:pPr>
                    <w:tabs>
                      <w:tab w:val="left" w:pos="797"/>
                    </w:tabs>
                    <w:jc w:val="left"/>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rPr>
                    <w:t>3WLED,亮度可调</w:t>
                  </w:r>
                </w:p>
              </w:tc>
              <w:tc>
                <w:tcPr>
                  <w:tcW w:w="3371" w:type="dxa"/>
                </w:tcPr>
                <w:p>
                  <w:pPr>
                    <w:widowControl/>
                    <w:jc w:val="left"/>
                    <w:rPr>
                      <w:rFonts w:hint="eastAsia" w:ascii="Tahoma" w:hAnsi="Tahoma" w:eastAsia="等线" w:cs="Tahoma"/>
                      <w:kern w:val="0"/>
                      <w:sz w:val="20"/>
                      <w:szCs w:val="20"/>
                      <w:vertAlign w:val="baseline"/>
                      <w:lang w:val="en-US" w:eastAsia="zh-CN" w:bidi="ar-SA"/>
                    </w:rPr>
                  </w:pPr>
                </w:p>
              </w:tc>
            </w:tr>
          </w:tbl>
          <w:p>
            <w:pPr>
              <w:widowControl/>
              <w:jc w:val="left"/>
              <w:rPr>
                <w:rFonts w:hint="eastAsia" w:ascii="Tahoma" w:hAnsi="Tahoma" w:eastAsia="等线" w:cs="Tahoma"/>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45" w:hRule="atLeast"/>
          <w:jc w:val="center"/>
        </w:trPr>
        <w:tc>
          <w:tcPr>
            <w:tcW w:w="740" w:type="dxa"/>
            <w:noWrap w:val="0"/>
            <w:vAlign w:val="center"/>
          </w:tcPr>
          <w:p>
            <w:pPr>
              <w:keepNext w:val="0"/>
              <w:keepLines w:val="0"/>
              <w:widowControl/>
              <w:suppressLineNumbers w:val="0"/>
              <w:jc w:val="center"/>
              <w:textAlignment w:val="center"/>
              <w:rPr>
                <w:rFonts w:hint="eastAsia" w:ascii="宋体" w:hAnsi="宋体" w:eastAsia="宋体" w:cs="宋体"/>
                <w:sz w:val="24"/>
                <w:szCs w:val="24"/>
                <w:lang w:val="en-US" w:eastAsia="zh-CN"/>
              </w:rPr>
            </w:pPr>
            <w:r>
              <w:rPr>
                <w:rFonts w:hint="eastAsia" w:ascii="宋体" w:hAnsi="宋体" w:eastAsia="宋体" w:cs="宋体"/>
                <w:b w:val="0"/>
                <w:bCs w:val="0"/>
                <w:i w:val="0"/>
                <w:iCs w:val="0"/>
                <w:color w:val="000000"/>
                <w:kern w:val="0"/>
                <w:sz w:val="24"/>
                <w:szCs w:val="24"/>
                <w:u w:val="none"/>
                <w:lang w:val="en-US" w:eastAsia="zh-CN" w:bidi="ar"/>
              </w:rPr>
              <w:t>2</w:t>
            </w:r>
          </w:p>
        </w:tc>
        <w:tc>
          <w:tcPr>
            <w:tcW w:w="1639" w:type="dxa"/>
            <w:noWrap w:val="0"/>
            <w:vAlign w:val="center"/>
          </w:tcPr>
          <w:p>
            <w:pPr>
              <w:jc w:val="center"/>
              <w:rPr>
                <w:rFonts w:hint="eastAsia" w:ascii="宋体" w:hAnsi="宋体" w:eastAsia="宋体" w:cs="宋体"/>
                <w:sz w:val="24"/>
                <w:szCs w:val="24"/>
              </w:rPr>
            </w:pPr>
            <w:r>
              <w:rPr>
                <w:rFonts w:hint="eastAsia" w:ascii="Tahoma" w:hAnsi="Tahoma" w:eastAsia="等线" w:cs="Tahoma"/>
                <w:kern w:val="0"/>
                <w:sz w:val="20"/>
                <w:szCs w:val="20"/>
                <w:lang w:val="en-US" w:eastAsia="zh-CN"/>
              </w:rPr>
              <w:t>教师</w:t>
            </w:r>
            <w:r>
              <w:rPr>
                <w:rFonts w:hint="eastAsia" w:ascii="Tahoma" w:hAnsi="Tahoma" w:eastAsia="等线" w:cs="Tahoma"/>
                <w:kern w:val="0"/>
                <w:sz w:val="20"/>
                <w:szCs w:val="20"/>
              </w:rPr>
              <w:t>显微镜</w:t>
            </w:r>
          </w:p>
        </w:tc>
        <w:tc>
          <w:tcPr>
            <w:tcW w:w="6971" w:type="dxa"/>
            <w:noWrap w:val="0"/>
            <w:vAlign w:val="bottom"/>
          </w:tcPr>
          <w:tbl>
            <w:tblPr>
              <w:tblStyle w:val="40"/>
              <w:tblW w:w="6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5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输出分辨率</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帧率</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1920*1080@60FPS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像素</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800万像素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芯片大小</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存储方式</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U盘或电脑800万输出、千兆网接多媒体教学软件可监控1对60位画面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操作方式</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USB接鼠标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功能</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图像拍照/录制/对比/测量十字线/WiFi连接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放大倍数</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光学放大：40X~1000X，电子放大：400X~8000X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大视野WF10X(视场数Φ22mm)、20X目镜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物镜</w:t>
                  </w:r>
                </w:p>
              </w:tc>
              <w:tc>
                <w:tcPr>
                  <w:tcW w:w="5427" w:type="dxa"/>
                  <w:vAlign w:val="top"/>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4X/0.10</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无限远平场消色差PL10X/0.25</w:t>
                  </w:r>
                </w:p>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无限远平场消色差PL 40X/0.65</w:t>
                  </w:r>
                </w:p>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无限远平场消色差PL100X/1.25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目镜筒</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双目镜(倾斜30度)，眼点高度可调、三目镜(倾斜30度)，眼点高度可调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调焦机构</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粗微动同轴调焦，带锁紧和限位装置，微动格值:2um.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转换器</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四孔(内向式滚珠内定位)。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载物台。</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双层机械移动式：182mmX140mm，移动范范75mmX50mm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阿贝聚光镜</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N.A.1.25可上下升降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集光器</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集光镜中内置视场光阑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vAlign w:val="center"/>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光源</w:t>
                  </w:r>
                </w:p>
              </w:tc>
              <w:tc>
                <w:tcPr>
                  <w:tcW w:w="5427" w:type="dxa"/>
                  <w:vAlign w:val="top"/>
                </w:tcPr>
                <w:p>
                  <w:pPr>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3WLED,亮度可调</w:t>
                  </w:r>
                </w:p>
              </w:tc>
            </w:tr>
          </w:tbl>
          <w:p>
            <w:pPr>
              <w:widowControl/>
              <w:jc w:val="left"/>
              <w:rPr>
                <w:rFonts w:hint="eastAsia" w:ascii="等线" w:hAnsi="等线" w:eastAsia="等线" w:cs="宋体"/>
                <w:color w:val="000000"/>
                <w:kern w:val="0"/>
                <w:sz w:val="22"/>
                <w:szCs w:val="22"/>
                <w:lang w:val="en-US" w:eastAsia="zh-CN" w:bidi="ar-SA"/>
              </w:rPr>
            </w:pPr>
          </w:p>
        </w:tc>
      </w:tr>
    </w:tbl>
    <w:p>
      <w:pPr>
        <w:rPr>
          <w:rFonts w:hint="eastAsia" w:ascii="宋体" w:hAnsi="宋体" w:cs="宋体"/>
          <w:b/>
        </w:rPr>
      </w:pPr>
    </w:p>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5"/>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2"/>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3"/>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3"/>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pStyle w:val="17"/>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7"/>
        <w:ind w:firstLine="420" w:firstLineChars="200"/>
        <w:rPr>
          <w:rFonts w:hint="eastAsia" w:ascii="宋体" w:hAnsi="宋体" w:cs="宋体"/>
          <w:b w:val="0"/>
          <w:sz w:val="21"/>
          <w:szCs w:val="21"/>
        </w:rPr>
      </w:pPr>
    </w:p>
    <w:p>
      <w:pPr>
        <w:pStyle w:val="3"/>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3"/>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3"/>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3"/>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3"/>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2"/>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08656BAA"/>
    <w:rsid w:val="0CE84013"/>
    <w:rsid w:val="12DD1B28"/>
    <w:rsid w:val="15B13C57"/>
    <w:rsid w:val="15ED3A5C"/>
    <w:rsid w:val="16B304F0"/>
    <w:rsid w:val="1A51219D"/>
    <w:rsid w:val="1BA51044"/>
    <w:rsid w:val="1BE978E3"/>
    <w:rsid w:val="20872C9F"/>
    <w:rsid w:val="216D7189"/>
    <w:rsid w:val="239C3B69"/>
    <w:rsid w:val="257E17F7"/>
    <w:rsid w:val="26D3060D"/>
    <w:rsid w:val="275663DD"/>
    <w:rsid w:val="2BF92562"/>
    <w:rsid w:val="32940A8C"/>
    <w:rsid w:val="33562ADE"/>
    <w:rsid w:val="33F52CFD"/>
    <w:rsid w:val="3DDB1809"/>
    <w:rsid w:val="425060F2"/>
    <w:rsid w:val="45847BA5"/>
    <w:rsid w:val="46120CDB"/>
    <w:rsid w:val="46410D56"/>
    <w:rsid w:val="469E203D"/>
    <w:rsid w:val="48A01FB8"/>
    <w:rsid w:val="49E80350"/>
    <w:rsid w:val="4ACB567E"/>
    <w:rsid w:val="4BB43D8C"/>
    <w:rsid w:val="52423785"/>
    <w:rsid w:val="56077DC5"/>
    <w:rsid w:val="5CCE7E41"/>
    <w:rsid w:val="5D7563F9"/>
    <w:rsid w:val="603D641A"/>
    <w:rsid w:val="62D3439E"/>
    <w:rsid w:val="63523C86"/>
    <w:rsid w:val="66DE3685"/>
    <w:rsid w:val="66F45EB8"/>
    <w:rsid w:val="6B126E3A"/>
    <w:rsid w:val="6DC17C96"/>
    <w:rsid w:val="6F194F50"/>
    <w:rsid w:val="71FEDFB2"/>
    <w:rsid w:val="73210D6E"/>
    <w:rsid w:val="756C7D11"/>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3"/>
    <w:next w:val="1"/>
    <w:link w:val="48"/>
    <w:qFormat/>
    <w:uiPriority w:val="0"/>
    <w:pPr>
      <w:spacing w:before="340" w:after="330" w:line="360" w:lineRule="auto"/>
      <w:jc w:val="center"/>
      <w:outlineLvl w:val="0"/>
    </w:pPr>
    <w:rPr>
      <w:rFonts w:eastAsia="宋体"/>
      <w:kern w:val="44"/>
      <w:sz w:val="32"/>
      <w:szCs w:val="36"/>
    </w:rPr>
  </w:style>
  <w:style w:type="paragraph" w:styleId="5">
    <w:name w:val="heading 2"/>
    <w:basedOn w:val="3"/>
    <w:next w:val="4"/>
    <w:link w:val="49"/>
    <w:qFormat/>
    <w:uiPriority w:val="0"/>
    <w:pPr>
      <w:adjustRightInd w:val="0"/>
      <w:jc w:val="center"/>
      <w:textAlignment w:val="baseline"/>
      <w:outlineLvl w:val="1"/>
    </w:pPr>
    <w:rPr>
      <w:bCs w:val="0"/>
      <w:kern w:val="0"/>
      <w:sz w:val="28"/>
      <w:szCs w:val="20"/>
    </w:rPr>
  </w:style>
  <w:style w:type="paragraph" w:styleId="3">
    <w:name w:val="heading 3"/>
    <w:basedOn w:val="4"/>
    <w:next w:val="1"/>
    <w:link w:val="47"/>
    <w:qFormat/>
    <w:uiPriority w:val="0"/>
    <w:pPr>
      <w:spacing w:before="260" w:after="260" w:line="240" w:lineRule="auto"/>
      <w:outlineLvl w:val="2"/>
    </w:pPr>
    <w:rPr>
      <w:rFonts w:ascii="宋体" w:hAnsi="宋体" w:eastAsia="宋体"/>
      <w:szCs w:val="32"/>
    </w:rPr>
  </w:style>
  <w:style w:type="paragraph" w:styleId="4">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7"/>
    <w:qFormat/>
    <w:uiPriority w:val="0"/>
    <w:pPr>
      <w:keepNext/>
      <w:keepLines/>
      <w:spacing w:before="240" w:after="64" w:line="320" w:lineRule="auto"/>
      <w:outlineLvl w:val="6"/>
    </w:pPr>
    <w:rPr>
      <w:b/>
      <w:sz w:val="24"/>
      <w:szCs w:val="20"/>
    </w:rPr>
  </w:style>
  <w:style w:type="paragraph" w:styleId="10">
    <w:name w:val="heading 8"/>
    <w:basedOn w:val="1"/>
    <w:next w:val="7"/>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7"/>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7">
    <w:name w:val="Normal Indent"/>
    <w:basedOn w:val="1"/>
    <w:link w:val="50"/>
    <w:qFormat/>
    <w:uiPriority w:val="0"/>
    <w:pPr>
      <w:ind w:firstLine="420"/>
    </w:pPr>
    <w:rPr>
      <w:szCs w:val="20"/>
    </w:rPr>
  </w:style>
  <w:style w:type="paragraph" w:styleId="12">
    <w:name w:val="toc 7"/>
    <w:basedOn w:val="1"/>
    <w:next w:val="1"/>
    <w:semiHidden/>
    <w:qFormat/>
    <w:uiPriority w:val="0"/>
    <w:pPr>
      <w:ind w:left="1260"/>
      <w:jc w:val="left"/>
    </w:pPr>
    <w:rPr>
      <w:szCs w:val="21"/>
    </w:rPr>
  </w:style>
  <w:style w:type="paragraph" w:styleId="13">
    <w:name w:val="List Bullet"/>
    <w:basedOn w:val="1"/>
    <w:qFormat/>
    <w:uiPriority w:val="0"/>
    <w:pPr>
      <w:numPr>
        <w:ilvl w:val="0"/>
        <w:numId w:val="1"/>
      </w:numPr>
    </w:pPr>
    <w:rPr>
      <w:szCs w:val="20"/>
    </w:rPr>
  </w:style>
  <w:style w:type="paragraph" w:styleId="14">
    <w:name w:val="Document Map"/>
    <w:basedOn w:val="1"/>
    <w:semiHidden/>
    <w:qFormat/>
    <w:uiPriority w:val="0"/>
    <w:pPr>
      <w:shd w:val="clear" w:color="auto" w:fill="000080"/>
    </w:pPr>
  </w:style>
  <w:style w:type="paragraph" w:styleId="15">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6">
    <w:name w:val="Body Text 3"/>
    <w:basedOn w:val="1"/>
    <w:qFormat/>
    <w:uiPriority w:val="0"/>
    <w:pPr>
      <w:spacing w:after="120"/>
    </w:pPr>
    <w:rPr>
      <w:sz w:val="16"/>
      <w:szCs w:val="16"/>
    </w:rPr>
  </w:style>
  <w:style w:type="paragraph" w:styleId="17">
    <w:name w:val="Body Text"/>
    <w:basedOn w:val="1"/>
    <w:qFormat/>
    <w:uiPriority w:val="0"/>
    <w:pPr>
      <w:spacing w:line="360" w:lineRule="auto"/>
    </w:pPr>
    <w:rPr>
      <w:b/>
      <w:bCs/>
      <w:sz w:val="24"/>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5"/>
    <w:next w:val="15"/>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4"/>
    <w:qFormat/>
    <w:uiPriority w:val="0"/>
    <w:rPr>
      <w:rFonts w:ascii="Arial" w:hAnsi="Arial" w:eastAsia="黑体"/>
      <w:b/>
      <w:bCs/>
      <w:kern w:val="2"/>
      <w:sz w:val="28"/>
      <w:szCs w:val="28"/>
      <w:lang w:val="en-US" w:eastAsia="zh-CN" w:bidi="ar-SA"/>
    </w:rPr>
  </w:style>
  <w:style w:type="character" w:customStyle="1" w:styleId="47">
    <w:name w:val="标题 3 Char1"/>
    <w:link w:val="3"/>
    <w:qFormat/>
    <w:uiPriority w:val="0"/>
    <w:rPr>
      <w:rFonts w:ascii="宋体" w:hAnsi="宋体" w:eastAsia="宋体"/>
      <w:b/>
      <w:bCs/>
      <w:kern w:val="2"/>
      <w:sz w:val="28"/>
      <w:szCs w:val="32"/>
      <w:lang w:val="en-US" w:eastAsia="zh-CN" w:bidi="ar-SA"/>
    </w:rPr>
  </w:style>
  <w:style w:type="character" w:customStyle="1" w:styleId="48">
    <w:name w:val="标题 1 Char"/>
    <w:link w:val="2"/>
    <w:qFormat/>
    <w:uiPriority w:val="0"/>
    <w:rPr>
      <w:rFonts w:ascii="宋体" w:hAnsi="宋体" w:eastAsia="宋体"/>
      <w:b/>
      <w:bCs/>
      <w:kern w:val="44"/>
      <w:sz w:val="32"/>
      <w:szCs w:val="36"/>
      <w:lang w:val="en-US" w:eastAsia="zh-CN" w:bidi="ar-SA"/>
    </w:rPr>
  </w:style>
  <w:style w:type="character" w:customStyle="1" w:styleId="49">
    <w:name w:val="标题 2 Char"/>
    <w:link w:val="5"/>
    <w:qFormat/>
    <w:uiPriority w:val="0"/>
    <w:rPr>
      <w:rFonts w:ascii="宋体" w:hAnsi="宋体" w:eastAsia="宋体"/>
      <w:b/>
      <w:sz w:val="28"/>
      <w:lang w:val="en-US" w:eastAsia="zh-CN" w:bidi="ar-SA"/>
    </w:rPr>
  </w:style>
  <w:style w:type="character" w:customStyle="1" w:styleId="50">
    <w:name w:val="正文缩进 Char"/>
    <w:link w:val="7"/>
    <w:qFormat/>
    <w:uiPriority w:val="0"/>
    <w:rPr>
      <w:rFonts w:eastAsia="宋体"/>
      <w:kern w:val="2"/>
      <w:sz w:val="21"/>
      <w:lang w:val="en-US" w:eastAsia="zh-CN" w:bidi="ar-SA"/>
    </w:rPr>
  </w:style>
  <w:style w:type="character" w:customStyle="1" w:styleId="51">
    <w:name w:val="批注文字 Char"/>
    <w:link w:val="15"/>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3</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2021-11-30T00:32:06Z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