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深圳实验学校坂田部（小学）讲台采购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2004</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六</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2004</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深圳实验学校坂田部（小学）讲台采购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人须知"/>
      <w:bookmarkEnd w:id="3"/>
      <w:bookmarkStart w:id="4" w:name="bt投标函"/>
      <w:bookmarkEnd w:id="4"/>
      <w:bookmarkStart w:id="5" w:name="bt技术标投标文件格式"/>
      <w:bookmarkEnd w:id="5"/>
      <w:bookmarkStart w:id="6" w:name="bt投标报价汇总表"/>
      <w:bookmarkEnd w:id="6"/>
      <w:bookmarkStart w:id="7" w:name="合同格式"/>
      <w:bookmarkEnd w:id="7"/>
      <w:bookmarkStart w:id="8" w:name="bt投标文件签署授权委托书"/>
      <w:bookmarkEnd w:id="8"/>
      <w:bookmarkStart w:id="9" w:name="bt说明"/>
      <w:bookmarkEnd w:id="9"/>
      <w:bookmarkStart w:id="10" w:name="bt其他资料由投标人自定"/>
      <w:bookmarkEnd w:id="10"/>
      <w:bookmarkStart w:id="11" w:name="bt合同格式"/>
      <w:bookmarkEnd w:id="11"/>
      <w:bookmarkStart w:id="12" w:name="bt投标人情况介绍"/>
      <w:bookmarkEnd w:id="12"/>
      <w:bookmarkStart w:id="13" w:name="bt其他资料2"/>
      <w:bookmarkEnd w:id="13"/>
      <w:bookmarkStart w:id="14" w:name="bt商务标投标文件格式"/>
      <w:bookmarkEnd w:id="14"/>
      <w:bookmarkStart w:id="15" w:name="bt项目管理班子配备情况"/>
      <w:bookmarkEnd w:id="15"/>
      <w:bookmarkStart w:id="16" w:name="bt合同条款"/>
      <w:bookmarkEnd w:id="16"/>
      <w:bookmarkStart w:id="17" w:name="bt本工程承诺书"/>
      <w:bookmarkEnd w:id="17"/>
      <w:bookmarkStart w:id="18" w:name="bt合同条款及格式"/>
      <w:bookmarkEnd w:id="18"/>
      <w:bookmarkStart w:id="19" w:name="bt开标一览表"/>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60631620"/>
      <w:bookmarkStart w:id="21" w:name="_Toc73521635"/>
      <w:bookmarkStart w:id="22" w:name="_Toc73518117"/>
      <w:bookmarkStart w:id="23" w:name="_Toc60560625"/>
      <w:bookmarkStart w:id="24" w:name="_Toc73521547"/>
      <w:bookmarkStart w:id="25" w:name="_Toc101074876"/>
      <w:bookmarkStart w:id="26" w:name="_Toc100052364"/>
      <w:bookmarkStart w:id="27" w:name="_Toc73517639"/>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深圳实验学校坂田部（小学）讲台采购项目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62"/>
        <w:gridCol w:w="2597"/>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62"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9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color w:val="000000"/>
                <w:szCs w:val="21"/>
              </w:rPr>
              <w:t>1</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jc w:val="center"/>
              <w:rPr>
                <w:rFonts w:hint="eastAsia" w:ascii="宋体" w:hAnsi="宋体" w:eastAsia="宋体" w:cs="宋体"/>
                <w:b w:val="0"/>
                <w:bCs w:val="0"/>
                <w:i w:val="0"/>
                <w:iCs w:val="0"/>
                <w:color w:val="auto"/>
                <w:kern w:val="0"/>
                <w:sz w:val="18"/>
                <w:szCs w:val="18"/>
                <w:u w:val="none"/>
                <w:lang w:val="en-US" w:eastAsia="zh-CN" w:bidi="ar"/>
              </w:rPr>
            </w:pPr>
            <w:r>
              <w:rPr>
                <w:rFonts w:hint="eastAsia"/>
                <w:color w:val="000000"/>
                <w:szCs w:val="21"/>
              </w:rPr>
              <w:t>坂田（小学）讲台</w:t>
            </w:r>
          </w:p>
        </w:tc>
        <w:tc>
          <w:tcPr>
            <w:tcW w:w="650"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color w:val="000000"/>
                <w:szCs w:val="21"/>
              </w:rPr>
              <w:t>58</w:t>
            </w:r>
          </w:p>
        </w:tc>
        <w:tc>
          <w:tcPr>
            <w:tcW w:w="763"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r>
              <w:rPr>
                <w:rFonts w:hint="eastAsia"/>
                <w:color w:val="000000"/>
                <w:szCs w:val="21"/>
                <w:lang w:val="en-US" w:eastAsia="zh-CN"/>
              </w:rPr>
              <w:t>台</w:t>
            </w:r>
          </w:p>
        </w:tc>
        <w:tc>
          <w:tcPr>
            <w:tcW w:w="1648" w:type="dxa"/>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126900</w:t>
            </w: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1907"/>
        <w:gridCol w:w="3781"/>
        <w:gridCol w:w="30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513"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r>
              <w:rPr>
                <w:rFonts w:hint="eastAsia" w:ascii="宋体" w:cs="宋体"/>
                <w:b/>
                <w:bCs/>
                <w:color w:val="auto"/>
                <w:szCs w:val="21"/>
                <w:lang w:val="zh-CN"/>
              </w:rPr>
              <w:t>序号</w:t>
            </w:r>
          </w:p>
        </w:tc>
        <w:tc>
          <w:tcPr>
            <w:tcW w:w="1907"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3781"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ascii="宋体" w:cs="宋体"/>
                <w:b/>
                <w:bCs/>
                <w:color w:val="auto"/>
                <w:szCs w:val="21"/>
                <w:lang w:val="zh-CN"/>
              </w:rPr>
            </w:pPr>
            <w:r>
              <w:rPr>
                <w:rFonts w:hint="eastAsia" w:ascii="宋体" w:cs="宋体"/>
                <w:b/>
                <w:bCs/>
                <w:color w:val="auto"/>
                <w:szCs w:val="21"/>
                <w:lang w:val="zh-CN"/>
              </w:rPr>
              <w:t>招标技术</w:t>
            </w:r>
            <w:r>
              <w:rPr>
                <w:rFonts w:ascii="宋体" w:cs="宋体"/>
                <w:b/>
                <w:bCs/>
                <w:color w:val="auto"/>
                <w:szCs w:val="21"/>
                <w:lang w:val="zh-CN"/>
              </w:rPr>
              <w:t>要求</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eastAsia="宋体" w:cs="宋体"/>
                <w:b/>
                <w:bCs/>
                <w:szCs w:val="21"/>
                <w:lang w:val="en-US" w:eastAsia="zh-CN"/>
              </w:rPr>
            </w:pPr>
            <w:r>
              <w:rPr>
                <w:rFonts w:hint="eastAsia" w:ascii="宋体" w:cs="宋体"/>
                <w:b/>
                <w:bCs/>
                <w:szCs w:val="21"/>
                <w:lang w:val="en-US" w:eastAsia="zh-CN"/>
              </w:rPr>
              <w:t>图片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color w:val="000000"/>
                <w:szCs w:val="21"/>
              </w:rPr>
              <w:t>坂田（小学）讲台</w:t>
            </w:r>
          </w:p>
        </w:tc>
        <w:tc>
          <w:tcPr>
            <w:tcW w:w="3781" w:type="dxa"/>
            <w:tcBorders>
              <w:top w:val="single" w:color="auto" w:sz="4" w:space="0"/>
              <w:left w:val="single" w:color="auto" w:sz="4" w:space="0"/>
              <w:bottom w:val="single" w:color="auto" w:sz="4" w:space="0"/>
              <w:right w:val="single" w:color="auto" w:sz="4" w:space="0"/>
            </w:tcBorders>
            <w:noWrap w:val="0"/>
            <w:vAlign w:val="center"/>
          </w:tcPr>
          <w:p>
            <w:pPr>
              <w:spacing w:line="400" w:lineRule="atLeast"/>
              <w:ind w:left="316" w:hanging="315" w:hangingChars="150"/>
              <w:rPr>
                <w:rFonts w:cs="宋体" w:asciiTheme="minorEastAsia" w:hAnsiTheme="minorEastAsia" w:eastAsiaTheme="minorEastAsia"/>
                <w:b w:val="0"/>
                <w:bCs/>
                <w:kern w:val="0"/>
                <w:sz w:val="21"/>
                <w:szCs w:val="21"/>
              </w:rPr>
            </w:pPr>
            <w:r>
              <w:rPr>
                <w:rFonts w:hint="eastAsia" w:ascii="宋体" w:hAnsi="宋体"/>
                <w:b w:val="0"/>
                <w:bCs/>
                <w:color w:val="000000"/>
                <w:sz w:val="21"/>
                <w:szCs w:val="21"/>
              </w:rPr>
              <w:t>1、</w:t>
            </w:r>
            <w:r>
              <w:rPr>
                <w:rFonts w:hint="eastAsia"/>
                <w:b w:val="0"/>
                <w:bCs/>
                <w:color w:val="000000"/>
                <w:sz w:val="21"/>
                <w:szCs w:val="21"/>
              </w:rPr>
              <w:t>*</w:t>
            </w:r>
            <w:r>
              <w:rPr>
                <w:rFonts w:hint="eastAsia" w:ascii="宋体" w:hAnsi="宋体"/>
                <w:b w:val="0"/>
                <w:bCs/>
                <w:color w:val="000000"/>
                <w:sz w:val="21"/>
                <w:szCs w:val="21"/>
                <w:shd w:val="pct10" w:color="auto" w:fill="FFFFFF"/>
              </w:rPr>
              <w:t>材料：</w:t>
            </w:r>
            <w:r>
              <w:rPr>
                <w:rFonts w:hint="eastAsia" w:ascii="宋体" w:hAnsi="宋体"/>
                <w:b w:val="0"/>
                <w:bCs/>
                <w:color w:val="000000"/>
                <w:sz w:val="21"/>
                <w:szCs w:val="21"/>
              </w:rPr>
              <w:t>采用</w:t>
            </w:r>
            <w:r>
              <w:rPr>
                <w:rFonts w:hint="eastAsia" w:ascii="宋体" w:hAnsi="宋体"/>
                <w:b w:val="0"/>
                <w:bCs/>
                <w:sz w:val="21"/>
                <w:szCs w:val="21"/>
              </w:rPr>
              <w:t>国内优质钢材1.2mm厚的DC03专用板材；</w:t>
            </w:r>
            <w:r>
              <w:rPr>
                <w:rFonts w:hint="eastAsia" w:cs="宋体" w:asciiTheme="minorEastAsia" w:hAnsiTheme="minorEastAsia" w:eastAsiaTheme="minorEastAsia"/>
                <w:b w:val="0"/>
                <w:bCs/>
                <w:kern w:val="0"/>
                <w:sz w:val="21"/>
                <w:szCs w:val="21"/>
              </w:rPr>
              <w:t>钢结构防盗设计配合台面</w:t>
            </w:r>
            <w:r>
              <w:rPr>
                <w:rFonts w:hint="eastAsia" w:ascii="宋体" w:hAnsi="宋体"/>
                <w:b w:val="0"/>
                <w:bCs/>
                <w:color w:val="000000"/>
                <w:sz w:val="21"/>
                <w:szCs w:val="21"/>
              </w:rPr>
              <w:t>采用耐划花木质材料及实木扶手为装饰设计</w:t>
            </w:r>
            <w:r>
              <w:rPr>
                <w:rFonts w:hint="eastAsia" w:cs="宋体" w:asciiTheme="minorEastAsia" w:hAnsiTheme="minorEastAsia" w:eastAsiaTheme="minorEastAsia"/>
                <w:b w:val="0"/>
                <w:bCs/>
                <w:kern w:val="0"/>
                <w:sz w:val="21"/>
                <w:szCs w:val="21"/>
              </w:rPr>
              <w:t>；钢结构整体经过酸洗、磷化、防锈处理后静电喷塑，全封闭式结构。</w:t>
            </w:r>
          </w:p>
          <w:p>
            <w:pPr>
              <w:spacing w:line="400" w:lineRule="atLeast"/>
              <w:ind w:left="316" w:hanging="315" w:hangingChars="150"/>
              <w:rPr>
                <w:rFonts w:ascii="宋体" w:hAnsi="宋体"/>
                <w:b w:val="0"/>
                <w:bCs/>
                <w:color w:val="000000"/>
                <w:sz w:val="21"/>
                <w:szCs w:val="21"/>
              </w:rPr>
            </w:pPr>
            <w:r>
              <w:rPr>
                <w:rFonts w:hint="eastAsia" w:ascii="宋体" w:hAnsi="宋体"/>
                <w:b w:val="0"/>
                <w:bCs/>
                <w:color w:val="000000"/>
                <w:sz w:val="21"/>
                <w:szCs w:val="21"/>
              </w:rPr>
              <w:t>2、</w:t>
            </w:r>
            <w:r>
              <w:rPr>
                <w:rFonts w:hint="eastAsia"/>
                <w:b w:val="0"/>
                <w:bCs/>
                <w:color w:val="000000"/>
                <w:sz w:val="21"/>
                <w:szCs w:val="21"/>
              </w:rPr>
              <w:t>*</w:t>
            </w:r>
            <w:r>
              <w:rPr>
                <w:rFonts w:hint="eastAsia" w:ascii="宋体" w:hAnsi="宋体"/>
                <w:b w:val="0"/>
                <w:bCs/>
                <w:color w:val="000000"/>
                <w:sz w:val="21"/>
                <w:szCs w:val="21"/>
                <w:shd w:val="pct10" w:color="auto" w:fill="FFFFFF"/>
              </w:rPr>
              <w:t>尺寸：</w:t>
            </w:r>
            <w:r>
              <w:rPr>
                <w:rFonts w:hint="eastAsia" w:ascii="宋体" w:hAnsi="宋体"/>
                <w:b w:val="0"/>
                <w:bCs/>
                <w:color w:val="000000"/>
                <w:sz w:val="21"/>
                <w:szCs w:val="21"/>
              </w:rPr>
              <w:t>长1200</w:t>
            </w:r>
            <w:r>
              <w:rPr>
                <w:rFonts w:ascii="宋体" w:hAnsi="宋体"/>
                <w:b w:val="0"/>
                <w:bCs/>
                <w:color w:val="000000"/>
                <w:sz w:val="21"/>
                <w:szCs w:val="21"/>
              </w:rPr>
              <w:t>×</w:t>
            </w:r>
            <w:r>
              <w:rPr>
                <w:rFonts w:hint="eastAsia" w:ascii="宋体" w:hAnsi="宋体"/>
                <w:b w:val="0"/>
                <w:bCs/>
                <w:color w:val="000000"/>
                <w:sz w:val="21"/>
                <w:szCs w:val="21"/>
              </w:rPr>
              <w:t>宽660</w:t>
            </w:r>
            <w:r>
              <w:rPr>
                <w:rFonts w:ascii="宋体" w:hAnsi="宋体"/>
                <w:b w:val="0"/>
                <w:bCs/>
                <w:color w:val="000000"/>
                <w:sz w:val="21"/>
                <w:szCs w:val="21"/>
              </w:rPr>
              <w:t>×</w:t>
            </w:r>
            <w:r>
              <w:rPr>
                <w:rFonts w:hint="eastAsia" w:ascii="宋体" w:hAnsi="宋体"/>
                <w:b w:val="0"/>
                <w:bCs/>
                <w:color w:val="000000"/>
                <w:sz w:val="21"/>
                <w:szCs w:val="21"/>
              </w:rPr>
              <w:t>高890；（其中上柜长1200</w:t>
            </w:r>
            <w:r>
              <w:rPr>
                <w:rFonts w:ascii="宋体" w:hAnsi="宋体"/>
                <w:b w:val="0"/>
                <w:bCs/>
                <w:color w:val="000000"/>
                <w:sz w:val="21"/>
                <w:szCs w:val="21"/>
              </w:rPr>
              <w:t>×</w:t>
            </w:r>
            <w:r>
              <w:rPr>
                <w:rFonts w:hint="eastAsia" w:ascii="宋体" w:hAnsi="宋体"/>
                <w:b w:val="0"/>
                <w:bCs/>
                <w:color w:val="000000"/>
                <w:sz w:val="21"/>
                <w:szCs w:val="21"/>
              </w:rPr>
              <w:t>宽660</w:t>
            </w:r>
            <w:r>
              <w:rPr>
                <w:rFonts w:ascii="宋体" w:hAnsi="宋体"/>
                <w:b w:val="0"/>
                <w:bCs/>
                <w:color w:val="000000"/>
                <w:sz w:val="21"/>
                <w:szCs w:val="21"/>
              </w:rPr>
              <w:t>×</w:t>
            </w:r>
            <w:r>
              <w:rPr>
                <w:rFonts w:hint="eastAsia" w:ascii="宋体" w:hAnsi="宋体"/>
                <w:b w:val="0"/>
                <w:bCs/>
                <w:color w:val="000000"/>
                <w:sz w:val="21"/>
                <w:szCs w:val="21"/>
              </w:rPr>
              <w:t>高230；下柜长800</w:t>
            </w:r>
            <w:r>
              <w:rPr>
                <w:rFonts w:ascii="宋体" w:hAnsi="宋体"/>
                <w:b w:val="0"/>
                <w:bCs/>
                <w:color w:val="000000"/>
                <w:sz w:val="21"/>
                <w:szCs w:val="21"/>
              </w:rPr>
              <w:t>×</w:t>
            </w:r>
            <w:r>
              <w:rPr>
                <w:rFonts w:hint="eastAsia" w:ascii="宋体" w:hAnsi="宋体"/>
                <w:b w:val="0"/>
                <w:bCs/>
                <w:color w:val="000000"/>
                <w:sz w:val="21"/>
                <w:szCs w:val="21"/>
              </w:rPr>
              <w:t>宽570</w:t>
            </w:r>
            <w:r>
              <w:rPr>
                <w:rFonts w:ascii="宋体" w:hAnsi="宋体"/>
                <w:b w:val="0"/>
                <w:bCs/>
                <w:color w:val="000000"/>
                <w:sz w:val="21"/>
                <w:szCs w:val="21"/>
              </w:rPr>
              <w:t>×</w:t>
            </w:r>
            <w:r>
              <w:rPr>
                <w:rFonts w:hint="eastAsia" w:ascii="宋体" w:hAnsi="宋体"/>
                <w:b w:val="0"/>
                <w:bCs/>
                <w:color w:val="000000"/>
                <w:sz w:val="21"/>
                <w:szCs w:val="21"/>
              </w:rPr>
              <w:t>高660） ，单位（mm）。展台托可用尺寸为：483*542*150mm；键盘托可用尺寸为：575*218*45mm；实木扶手尺寸为：590*50*80mm；</w:t>
            </w:r>
          </w:p>
          <w:p>
            <w:pPr>
              <w:spacing w:line="400" w:lineRule="atLeast"/>
              <w:ind w:left="316" w:hanging="315" w:hangingChars="150"/>
              <w:rPr>
                <w:rFonts w:cs="宋体" w:asciiTheme="minorEastAsia" w:hAnsiTheme="minorEastAsia" w:eastAsiaTheme="minorEastAsia"/>
                <w:b w:val="0"/>
                <w:bCs/>
                <w:kern w:val="0"/>
                <w:sz w:val="21"/>
                <w:szCs w:val="21"/>
              </w:rPr>
            </w:pPr>
            <w:r>
              <w:rPr>
                <w:rFonts w:hint="eastAsia" w:ascii="宋体" w:hAnsi="宋体"/>
                <w:b w:val="0"/>
                <w:bCs/>
                <w:color w:val="000000"/>
                <w:sz w:val="21"/>
                <w:szCs w:val="21"/>
              </w:rPr>
              <w:t>3、</w:t>
            </w:r>
            <w:r>
              <w:rPr>
                <w:rFonts w:hint="eastAsia"/>
                <w:b w:val="0"/>
                <w:bCs/>
                <w:color w:val="000000"/>
                <w:sz w:val="21"/>
                <w:szCs w:val="21"/>
              </w:rPr>
              <w:t>*</w:t>
            </w:r>
            <w:r>
              <w:rPr>
                <w:rFonts w:hint="eastAsia" w:ascii="宋体" w:hAnsi="宋体"/>
                <w:b w:val="0"/>
                <w:bCs/>
                <w:color w:val="000000"/>
                <w:sz w:val="21"/>
                <w:szCs w:val="21"/>
                <w:shd w:val="pct10" w:color="auto" w:fill="FFFFFF"/>
              </w:rPr>
              <w:t>讲台特点：</w:t>
            </w:r>
            <w:r>
              <w:rPr>
                <w:rFonts w:hint="eastAsia"/>
                <w:b w:val="0"/>
                <w:bCs/>
                <w:color w:val="000000"/>
                <w:sz w:val="21"/>
                <w:szCs w:val="21"/>
              </w:rPr>
              <w:t>台面左边设有可安装15-24寸液晶显示器且可根据视角调整显</w:t>
            </w:r>
            <w:r>
              <w:rPr>
                <w:rFonts w:hint="eastAsia"/>
                <w:b w:val="0"/>
                <w:bCs/>
                <w:sz w:val="21"/>
                <w:szCs w:val="21"/>
              </w:rPr>
              <w:t>示器角度（五档调节）；右边设有带保护门的中控、电源插座及外接设备功能模块的安装位置；抽屉式键盘；</w:t>
            </w:r>
            <w:r>
              <w:rPr>
                <w:rFonts w:hint="eastAsia" w:ascii="宋体" w:hAnsi="宋体"/>
                <w:b w:val="0"/>
                <w:bCs/>
                <w:sz w:val="21"/>
                <w:szCs w:val="21"/>
              </w:rPr>
              <w:t>右侧设有抽屉式实物展台放置区，轻轻拉出即可使用</w:t>
            </w:r>
            <w:r>
              <w:rPr>
                <w:rFonts w:hint="eastAsia" w:cs="宋体" w:asciiTheme="minorEastAsia" w:hAnsiTheme="minorEastAsia" w:eastAsiaTheme="minorEastAsia"/>
                <w:b w:val="0"/>
                <w:bCs/>
                <w:kern w:val="0"/>
                <w:sz w:val="21"/>
                <w:szCs w:val="21"/>
              </w:rPr>
              <w:t>。关闭后所有设备都隐藏在讲台内。</w:t>
            </w:r>
          </w:p>
          <w:p>
            <w:pPr>
              <w:spacing w:line="400" w:lineRule="atLeast"/>
              <w:ind w:left="316" w:hanging="315" w:hangingChars="150"/>
              <w:rPr>
                <w:b w:val="0"/>
                <w:bCs/>
                <w:color w:val="000000"/>
                <w:sz w:val="21"/>
                <w:szCs w:val="21"/>
              </w:rPr>
            </w:pPr>
            <w:r>
              <w:rPr>
                <w:rFonts w:hint="eastAsia" w:ascii="宋体" w:hAnsi="宋体"/>
                <w:b w:val="0"/>
                <w:bCs/>
                <w:color w:val="000000"/>
                <w:sz w:val="21"/>
                <w:szCs w:val="21"/>
              </w:rPr>
              <w:t>4、</w:t>
            </w:r>
            <w:r>
              <w:rPr>
                <w:rFonts w:hint="eastAsia" w:ascii="宋体" w:hAnsi="宋体"/>
                <w:b w:val="0"/>
                <w:bCs/>
                <w:color w:val="000000"/>
                <w:sz w:val="21"/>
                <w:szCs w:val="21"/>
                <w:shd w:val="pct10" w:color="auto" w:fill="FFFFFF"/>
              </w:rPr>
              <w:t>讲台锁：</w:t>
            </w:r>
            <w:r>
              <w:rPr>
                <w:rFonts w:hint="eastAsia" w:ascii="宋体" w:hAnsi="宋体"/>
                <w:b w:val="0"/>
                <w:bCs/>
                <w:color w:val="000000"/>
                <w:sz w:val="21"/>
                <w:szCs w:val="21"/>
              </w:rPr>
              <w:t>整个讲台用1把钥匙便能轻松开启讲台所有的门。</w:t>
            </w:r>
          </w:p>
          <w:p>
            <w:pPr>
              <w:spacing w:line="400" w:lineRule="atLeast"/>
              <w:ind w:left="316" w:hanging="315" w:hangingChars="150"/>
              <w:rPr>
                <w:b w:val="0"/>
                <w:bCs/>
                <w:color w:val="000000"/>
                <w:sz w:val="21"/>
                <w:szCs w:val="21"/>
              </w:rPr>
            </w:pPr>
            <w:r>
              <w:rPr>
                <w:rFonts w:hint="eastAsia"/>
                <w:b w:val="0"/>
                <w:bCs/>
                <w:color w:val="000000"/>
                <w:sz w:val="21"/>
                <w:szCs w:val="21"/>
              </w:rPr>
              <w:t>5、</w:t>
            </w:r>
            <w:r>
              <w:rPr>
                <w:rFonts w:hint="eastAsia"/>
                <w:b w:val="0"/>
                <w:bCs/>
                <w:color w:val="000000"/>
                <w:sz w:val="21"/>
                <w:szCs w:val="21"/>
                <w:shd w:val="pct10" w:color="auto" w:fill="FFFFFF"/>
              </w:rPr>
              <w:t>地台：</w:t>
            </w:r>
            <w:r>
              <w:rPr>
                <w:rFonts w:hint="eastAsia"/>
                <w:b w:val="0"/>
                <w:bCs/>
                <w:color w:val="000000"/>
                <w:sz w:val="21"/>
                <w:szCs w:val="21"/>
              </w:rPr>
              <w:t>根据学校讲坛高度配地台。</w:t>
            </w:r>
          </w:p>
          <w:p>
            <w:pPr>
              <w:spacing w:line="400" w:lineRule="atLeast"/>
              <w:ind w:left="316" w:hanging="315" w:hangingChars="150"/>
              <w:rPr>
                <w:rFonts w:ascii="宋体" w:hAnsi="宋体"/>
                <w:b w:val="0"/>
                <w:bCs/>
                <w:color w:val="000000"/>
                <w:sz w:val="21"/>
                <w:szCs w:val="21"/>
              </w:rPr>
            </w:pPr>
            <w:r>
              <w:rPr>
                <w:rFonts w:hint="eastAsia" w:ascii="宋体" w:hAnsi="宋体"/>
                <w:b w:val="0"/>
                <w:bCs/>
                <w:color w:val="000000"/>
                <w:sz w:val="21"/>
                <w:szCs w:val="21"/>
              </w:rPr>
              <w:t>6、</w:t>
            </w:r>
            <w:r>
              <w:rPr>
                <w:rFonts w:hint="eastAsia" w:ascii="宋体" w:hAnsi="宋体"/>
                <w:b w:val="0"/>
                <w:bCs/>
                <w:color w:val="000000"/>
                <w:sz w:val="21"/>
                <w:szCs w:val="21"/>
                <w:shd w:val="pct10" w:color="auto" w:fill="FFFFFF"/>
              </w:rPr>
              <w:t>安全设计：</w:t>
            </w:r>
            <w:r>
              <w:rPr>
                <w:rFonts w:hint="eastAsia" w:ascii="宋体" w:hAnsi="宋体"/>
                <w:b w:val="0"/>
                <w:bCs/>
                <w:color w:val="000000"/>
                <w:sz w:val="21"/>
                <w:szCs w:val="21"/>
              </w:rPr>
              <w:t>讲台边角采用美观的圆弧过渡，具有专业接地保护，防止设备漏电，确保使用安全。</w:t>
            </w:r>
          </w:p>
          <w:p>
            <w:pPr>
              <w:spacing w:line="400" w:lineRule="atLeast"/>
              <w:ind w:left="316" w:hanging="315" w:hangingChars="150"/>
              <w:rPr>
                <w:rFonts w:ascii="宋体" w:hAnsi="宋体"/>
                <w:b w:val="0"/>
                <w:bCs/>
                <w:color w:val="000000"/>
                <w:sz w:val="21"/>
                <w:szCs w:val="21"/>
              </w:rPr>
            </w:pPr>
            <w:r>
              <w:rPr>
                <w:rFonts w:hint="eastAsia"/>
                <w:b w:val="0"/>
                <w:bCs/>
                <w:color w:val="000000"/>
                <w:sz w:val="21"/>
                <w:szCs w:val="21"/>
              </w:rPr>
              <w:t>7、</w:t>
            </w:r>
            <w:r>
              <w:rPr>
                <w:rFonts w:hint="eastAsia" w:ascii="宋体" w:hAnsi="宋体"/>
                <w:b w:val="0"/>
                <w:bCs/>
                <w:color w:val="000000"/>
                <w:sz w:val="21"/>
                <w:szCs w:val="21"/>
                <w:shd w:val="pct10" w:color="auto" w:fill="FFFFFF"/>
              </w:rPr>
              <w:t>支持站立和坐下授课：</w:t>
            </w:r>
            <w:r>
              <w:rPr>
                <w:rFonts w:hint="eastAsia" w:ascii="宋体" w:hAnsi="宋体"/>
                <w:b w:val="0"/>
                <w:bCs/>
                <w:color w:val="000000"/>
                <w:sz w:val="21"/>
                <w:szCs w:val="21"/>
              </w:rPr>
              <w:t>支持。</w:t>
            </w:r>
          </w:p>
          <w:p>
            <w:pPr>
              <w:rPr>
                <w:rFonts w:ascii="宋体" w:hAnsi="宋体"/>
                <w:b w:val="0"/>
                <w:bCs/>
                <w:color w:val="000000"/>
                <w:sz w:val="21"/>
                <w:szCs w:val="21"/>
                <w:shd w:val="pct10" w:color="auto" w:fill="FFFFFF"/>
              </w:rPr>
            </w:pPr>
            <w:r>
              <w:rPr>
                <w:rFonts w:hint="eastAsia"/>
                <w:b w:val="0"/>
                <w:bCs/>
                <w:color w:val="000000"/>
                <w:sz w:val="21"/>
                <w:szCs w:val="21"/>
              </w:rPr>
              <w:t>8、</w:t>
            </w:r>
            <w:r>
              <w:rPr>
                <w:rFonts w:hint="eastAsia" w:ascii="宋体" w:hAnsi="宋体"/>
                <w:b w:val="0"/>
                <w:bCs/>
                <w:color w:val="000000"/>
                <w:sz w:val="21"/>
                <w:szCs w:val="21"/>
                <w:shd w:val="pct10" w:color="auto" w:fill="FFFFFF"/>
              </w:rPr>
              <w:t>证书：</w:t>
            </w:r>
            <w:r>
              <w:rPr>
                <w:rFonts w:ascii="宋体" w:hAnsi="宋体"/>
                <w:b w:val="0"/>
                <w:bCs/>
                <w:color w:val="000000"/>
                <w:sz w:val="21"/>
                <w:szCs w:val="21"/>
                <w:shd w:val="pct10" w:color="auto" w:fill="FFFFFF"/>
              </w:rPr>
              <w:t xml:space="preserve"> </w:t>
            </w:r>
          </w:p>
          <w:p>
            <w:pPr>
              <w:rPr>
                <w:rFonts w:hint="eastAsia" w:ascii="宋体" w:hAnsi="宋体" w:eastAsia="宋体" w:cs="Times New Roman"/>
                <w:bCs/>
                <w:color w:val="auto"/>
                <w:kern w:val="2"/>
                <w:sz w:val="24"/>
                <w:szCs w:val="24"/>
                <w:lang w:val="en-US" w:eastAsia="zh-CN" w:bidi="ar-SA"/>
              </w:rPr>
            </w:pPr>
            <w:r>
              <w:rPr>
                <w:rFonts w:hint="eastAsia" w:ascii="宋体" w:hAnsi="宋体"/>
                <w:b w:val="0"/>
                <w:bCs/>
                <w:sz w:val="21"/>
                <w:szCs w:val="21"/>
              </w:rPr>
              <w:t>1）可提供国家认证的第三方检测机构提供的符合GB/T 3325-2008《金属家具通用技术条件》的检测报告。</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both"/>
              <w:rPr>
                <w:rFonts w:hint="eastAsia"/>
              </w:rPr>
            </w:pPr>
          </w:p>
          <w:p>
            <w:pPr>
              <w:jc w:val="center"/>
              <w:rPr>
                <w:rFonts w:hint="eastAsia"/>
              </w:rPr>
            </w:pPr>
            <w:r>
              <w:rPr>
                <w:rFonts w:hint="eastAsia"/>
              </w:rPr>
              <w:drawing>
                <wp:inline distT="0" distB="0" distL="0" distR="0">
                  <wp:extent cx="1737995" cy="1821815"/>
                  <wp:effectExtent l="0" t="0" r="14605"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7" cstate="print"/>
                          <a:srcRect/>
                          <a:stretch>
                            <a:fillRect/>
                          </a:stretch>
                        </pic:blipFill>
                        <pic:spPr>
                          <a:xfrm>
                            <a:off x="0" y="0"/>
                            <a:ext cx="1737995" cy="1821815"/>
                          </a:xfrm>
                          <a:prstGeom prst="rect">
                            <a:avLst/>
                          </a:prstGeom>
                          <a:noFill/>
                          <a:ln w="9525">
                            <a:noFill/>
                            <a:miter lim="800000"/>
                            <a:headEnd/>
                            <a:tailEnd/>
                          </a:ln>
                        </pic:spPr>
                      </pic:pic>
                    </a:graphicData>
                  </a:graphic>
                </wp:inline>
              </w:drawing>
            </w:r>
          </w:p>
          <w:p>
            <w:pPr>
              <w:jc w:val="center"/>
              <w:rPr>
                <w:rFonts w:hint="eastAsia"/>
              </w:rPr>
            </w:pPr>
          </w:p>
          <w:p>
            <w:pPr>
              <w:jc w:val="center"/>
              <w:rPr>
                <w:rFonts w:hint="eastAsia"/>
              </w:rPr>
            </w:pPr>
          </w:p>
          <w:p>
            <w:pPr>
              <w:jc w:val="both"/>
              <w:rPr>
                <w:rFonts w:hint="eastAsia"/>
                <w:lang w:val="en-US" w:eastAsia="zh-CN"/>
              </w:rPr>
            </w:pPr>
            <w:r>
              <w:rPr>
                <w:rFonts w:hint="eastAsia"/>
              </w:rPr>
              <w:drawing>
                <wp:inline distT="0" distB="0" distL="0" distR="0">
                  <wp:extent cx="1903095" cy="2503805"/>
                  <wp:effectExtent l="0" t="0" r="1905" b="1079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8" cstate="print"/>
                          <a:srcRect/>
                          <a:stretch>
                            <a:fillRect/>
                          </a:stretch>
                        </pic:blipFill>
                        <pic:spPr>
                          <a:xfrm>
                            <a:off x="0" y="0"/>
                            <a:ext cx="1903095" cy="2503805"/>
                          </a:xfrm>
                          <a:prstGeom prst="rect">
                            <a:avLst/>
                          </a:prstGeom>
                          <a:noFill/>
                          <a:ln w="9525">
                            <a:noFill/>
                            <a:miter lim="800000"/>
                            <a:headEnd/>
                            <a:tailEnd/>
                          </a:ln>
                        </pic:spPr>
                      </pic:pic>
                    </a:graphicData>
                  </a:graphic>
                </wp:inline>
              </w:drawing>
            </w: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r>
              <w:rPr>
                <w:rFonts w:hint="eastAsia"/>
                <w:b w:val="0"/>
                <w:bCs/>
                <w:color w:val="000000"/>
                <w:sz w:val="21"/>
                <w:szCs w:val="21"/>
              </w:rPr>
              <w:t>要将学校原有多媒体讲台搬到指定地点，负责新讲台安装及讲台内强弱电的线路安装。不产生新线材的情况下，不产生新的费用，要求讲台内的所有线路走线方式工整、有线标，保证正常使用。</w:t>
            </w:r>
            <w:bookmarkStart w:id="30" w:name="_GoBack"/>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425060F2"/>
    <w:rsid w:val="45847BA5"/>
    <w:rsid w:val="46410D56"/>
    <w:rsid w:val="469E203D"/>
    <w:rsid w:val="49E80350"/>
    <w:rsid w:val="4BB43D8C"/>
    <w:rsid w:val="4DBA22C3"/>
    <w:rsid w:val="52423785"/>
    <w:rsid w:val="56077DC5"/>
    <w:rsid w:val="5D7563F9"/>
    <w:rsid w:val="603D641A"/>
    <w:rsid w:val="617A743E"/>
    <w:rsid w:val="62D3439E"/>
    <w:rsid w:val="66F45EB8"/>
    <w:rsid w:val="697406AA"/>
    <w:rsid w:val="69782474"/>
    <w:rsid w:val="6B126E3A"/>
    <w:rsid w:val="6B97436A"/>
    <w:rsid w:val="6C11369E"/>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1</TotalTime>
  <ScaleCrop>false</ScaleCrop>
  <LinksUpToDate>false</LinksUpToDate>
  <CharactersWithSpaces>11357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2022-04-06T04:05:53Z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BB87CA5906FB4AC483E17446EA6854A3</vt:lpwstr>
  </property>
</Properties>
</file>