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Cs w:val="21"/>
        </w:rPr>
      </w:pPr>
    </w:p>
    <w:p>
      <w:pPr>
        <w:jc w:val="center"/>
        <w:rPr>
          <w:rFonts w:hint="eastAsia" w:asciiTheme="minorEastAsia" w:hAnsiTheme="minorEastAsia"/>
          <w:sz w:val="36"/>
          <w:szCs w:val="36"/>
        </w:rPr>
      </w:pPr>
      <w:r>
        <w:rPr>
          <w:rFonts w:hint="eastAsia"/>
          <w:b/>
          <w:bCs/>
          <w:sz w:val="36"/>
          <w:szCs w:val="36"/>
        </w:rPr>
        <w:t>深圳实验学校</w:t>
      </w:r>
      <w:r>
        <w:rPr>
          <w:rFonts w:hint="eastAsia"/>
          <w:b/>
          <w:bCs/>
          <w:sz w:val="36"/>
          <w:szCs w:val="36"/>
          <w:lang w:val="en-US" w:eastAsia="zh-CN"/>
        </w:rPr>
        <w:t>光明部</w:t>
      </w:r>
      <w:r>
        <w:rPr>
          <w:rFonts w:hint="eastAsia"/>
          <w:b/>
          <w:bCs/>
          <w:sz w:val="36"/>
          <w:szCs w:val="36"/>
        </w:rPr>
        <w:t>高考考点</w:t>
      </w:r>
      <w:bookmarkStart w:id="0" w:name="_GoBack"/>
      <w:bookmarkEnd w:id="0"/>
      <w:r>
        <w:rPr>
          <w:rFonts w:hint="eastAsia"/>
          <w:b/>
          <w:bCs/>
          <w:sz w:val="36"/>
          <w:szCs w:val="36"/>
        </w:rPr>
        <w:t>升级改造项</w:t>
      </w:r>
      <w:r>
        <w:rPr>
          <w:rFonts w:hint="eastAsia" w:asciiTheme="minorEastAsia" w:hAnsiTheme="minorEastAsia"/>
          <w:sz w:val="36"/>
          <w:szCs w:val="36"/>
        </w:rPr>
        <w:t>目</w:t>
      </w:r>
    </w:p>
    <w:p>
      <w:pPr>
        <w:jc w:val="center"/>
        <w:rPr>
          <w:szCs w:val="21"/>
        </w:rPr>
      </w:pPr>
      <w:r>
        <w:rPr>
          <w:rFonts w:hint="eastAsia" w:asciiTheme="minorEastAsia" w:hAnsiTheme="minorEastAsia"/>
          <w:sz w:val="36"/>
          <w:szCs w:val="36"/>
        </w:rPr>
        <w:t>采用单一来源方式采购征求意见公示</w:t>
      </w:r>
    </w:p>
    <w:tbl>
      <w:tblPr>
        <w:tblStyle w:val="4"/>
        <w:tblW w:w="5000" w:type="pct"/>
        <w:tblInd w:w="0" w:type="dxa"/>
        <w:tblLayout w:type="autofit"/>
        <w:tblCellMar>
          <w:top w:w="0" w:type="dxa"/>
          <w:left w:w="0" w:type="dxa"/>
          <w:bottom w:w="0" w:type="dxa"/>
          <w:right w:w="0" w:type="dxa"/>
        </w:tblCellMar>
      </w:tblPr>
      <w:tblGrid>
        <w:gridCol w:w="9968"/>
      </w:tblGrid>
      <w:tr>
        <w:tblPrEx>
          <w:tblCellMar>
            <w:top w:w="0" w:type="dxa"/>
            <w:left w:w="0" w:type="dxa"/>
            <w:bottom w:w="0" w:type="dxa"/>
            <w:right w:w="0" w:type="dxa"/>
          </w:tblCellMar>
        </w:tblPrEx>
        <w:trPr>
          <w:trHeight w:val="740" w:hRule="atLeast"/>
        </w:trPr>
        <w:tc>
          <w:tcPr>
            <w:tcW w:w="5000" w:type="pct"/>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pPr>
              <w:ind w:firstLine="420" w:firstLineChars="200"/>
              <w:rPr>
                <w:szCs w:val="21"/>
              </w:rPr>
            </w:pPr>
            <w:r>
              <w:rPr>
                <w:rFonts w:hint="eastAsia"/>
                <w:szCs w:val="21"/>
              </w:rPr>
              <w:t>依照《深圳经济特区政府采购条例》第二十一条第四款第（4）项规定，</w:t>
            </w:r>
            <w:r>
              <w:rPr>
                <w:rFonts w:hint="eastAsia"/>
                <w:b/>
                <w:szCs w:val="21"/>
              </w:rPr>
              <w:t>深圳实验学校</w:t>
            </w:r>
            <w:r>
              <w:rPr>
                <w:rFonts w:hint="eastAsia"/>
                <w:b/>
                <w:szCs w:val="21"/>
                <w:lang w:val="en-US" w:eastAsia="zh-CN"/>
              </w:rPr>
              <w:t>光明部</w:t>
            </w:r>
            <w:r>
              <w:rPr>
                <w:rFonts w:hint="eastAsia"/>
                <w:b/>
                <w:szCs w:val="21"/>
              </w:rPr>
              <w:t xml:space="preserve"> </w:t>
            </w:r>
            <w:r>
              <w:rPr>
                <w:rFonts w:hint="eastAsia"/>
                <w:szCs w:val="21"/>
              </w:rPr>
              <w:t xml:space="preserve">申请 </w:t>
            </w:r>
            <w:r>
              <w:rPr>
                <w:rFonts w:hint="eastAsia"/>
                <w:b/>
                <w:szCs w:val="21"/>
              </w:rPr>
              <w:t>高考考点升级改造</w:t>
            </w:r>
            <w:r>
              <w:rPr>
                <w:rFonts w:hint="eastAsia"/>
                <w:szCs w:val="21"/>
              </w:rPr>
              <w:t>项目采用单一来源方式采购，现将有关情况向潜在供应商征求意见：</w:t>
            </w:r>
          </w:p>
        </w:tc>
      </w:tr>
      <w:tr>
        <w:tblPrEx>
          <w:tblCellMar>
            <w:top w:w="0" w:type="dxa"/>
            <w:left w:w="0" w:type="dxa"/>
            <w:bottom w:w="0" w:type="dxa"/>
            <w:right w:w="0" w:type="dxa"/>
          </w:tblCellMar>
        </w:tblPrEx>
        <w:trPr>
          <w:trHeight w:val="792"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采购项目名称：</w:t>
            </w:r>
            <w:r>
              <w:rPr>
                <w:rFonts w:hint="eastAsia"/>
                <w:b/>
                <w:szCs w:val="21"/>
              </w:rPr>
              <w:t>高考考点升级改造</w:t>
            </w:r>
          </w:p>
          <w:p>
            <w:pPr>
              <w:rPr>
                <w:szCs w:val="21"/>
              </w:rPr>
            </w:pPr>
            <w:r>
              <w:rPr>
                <w:rFonts w:hint="eastAsia"/>
                <w:szCs w:val="21"/>
              </w:rPr>
              <w:t>项目预算金额：</w:t>
            </w:r>
            <w:r>
              <w:rPr>
                <w:rFonts w:hint="eastAsia"/>
                <w:b/>
                <w:i/>
                <w:szCs w:val="21"/>
                <w:lang w:val="en-US" w:eastAsia="zh-CN"/>
              </w:rPr>
              <w:t>189560.00</w:t>
            </w:r>
            <w:r>
              <w:rPr>
                <w:rFonts w:hint="eastAsia"/>
                <w:b/>
                <w:i/>
                <w:szCs w:val="21"/>
              </w:rPr>
              <w:t>元（人民币）</w:t>
            </w:r>
          </w:p>
        </w:tc>
      </w:tr>
      <w:tr>
        <w:tblPrEx>
          <w:tblCellMar>
            <w:top w:w="0" w:type="dxa"/>
            <w:left w:w="0" w:type="dxa"/>
            <w:bottom w:w="0" w:type="dxa"/>
            <w:right w:w="0" w:type="dxa"/>
          </w:tblCellMar>
        </w:tblPrEx>
        <w:trPr>
          <w:trHeight w:val="701"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采购项目描述：(内容、数量、用途、简要技术需求等)</w:t>
            </w:r>
          </w:p>
          <w:p>
            <w:pPr>
              <w:rPr>
                <w:rFonts w:hint="eastAsia"/>
                <w:b/>
                <w:bCs/>
                <w:szCs w:val="21"/>
              </w:rPr>
            </w:pPr>
            <w:r>
              <w:rPr>
                <w:rFonts w:hint="eastAsia"/>
                <w:b/>
                <w:bCs/>
                <w:szCs w:val="21"/>
              </w:rPr>
              <w:t>设备：</w:t>
            </w:r>
          </w:p>
          <w:p>
            <w:pPr>
              <w:rPr>
                <w:rFonts w:hint="eastAsia"/>
                <w:b/>
                <w:bCs/>
                <w:szCs w:val="21"/>
              </w:rPr>
            </w:pPr>
            <w:r>
              <w:rPr>
                <w:rFonts w:hint="eastAsia"/>
                <w:b/>
                <w:bCs/>
                <w:szCs w:val="21"/>
              </w:rPr>
              <w:t>1.高科技屏蔽终端（</w:t>
            </w:r>
            <w:r>
              <w:rPr>
                <w:rFonts w:hint="eastAsia"/>
                <w:b/>
                <w:bCs/>
                <w:szCs w:val="21"/>
                <w:lang w:val="en-US" w:eastAsia="zh-CN"/>
              </w:rPr>
              <w:t>1</w:t>
            </w:r>
            <w:r>
              <w:rPr>
                <w:rFonts w:hint="eastAsia"/>
                <w:b/>
                <w:bCs/>
                <w:szCs w:val="21"/>
              </w:rPr>
              <w:t>6</w:t>
            </w:r>
            <w:r>
              <w:rPr>
                <w:rFonts w:hint="eastAsia"/>
                <w:b/>
                <w:bCs/>
                <w:szCs w:val="21"/>
                <w:lang w:val="en-US" w:eastAsia="zh-CN"/>
              </w:rPr>
              <w:t>套</w:t>
            </w:r>
            <w:r>
              <w:rPr>
                <w:rFonts w:hint="eastAsia"/>
                <w:b/>
                <w:bCs/>
                <w:szCs w:val="21"/>
              </w:rPr>
              <w:t>）</w:t>
            </w:r>
          </w:p>
          <w:p>
            <w:pPr>
              <w:rPr>
                <w:rFonts w:hint="eastAsia"/>
                <w:szCs w:val="21"/>
              </w:rPr>
            </w:pPr>
            <w:r>
              <w:rPr>
                <w:rFonts w:hint="eastAsia"/>
                <w:szCs w:val="21"/>
              </w:rPr>
              <w:t>验证方法：可屏蔽手机（2G/3G/4G/5G）/蓝牙wifi2.4G信号；具备并发阻断能力：支持软硬件扩展；数据接口：RJ45；支持远程管理和维护。。</w:t>
            </w:r>
          </w:p>
          <w:p>
            <w:pPr>
              <w:rPr>
                <w:rFonts w:hint="eastAsia"/>
                <w:b/>
                <w:bCs/>
                <w:szCs w:val="21"/>
              </w:rPr>
            </w:pPr>
            <w:r>
              <w:rPr>
                <w:rFonts w:hint="eastAsia"/>
                <w:b/>
                <w:bCs/>
                <w:szCs w:val="21"/>
                <w:lang w:val="en-US" w:eastAsia="zh-CN"/>
              </w:rPr>
              <w:t>2.</w:t>
            </w:r>
            <w:r>
              <w:rPr>
                <w:rFonts w:hint="eastAsia"/>
                <w:b/>
                <w:bCs/>
                <w:szCs w:val="21"/>
              </w:rPr>
              <w:t>升级5G屏蔽模块（</w:t>
            </w:r>
            <w:r>
              <w:rPr>
                <w:rFonts w:hint="eastAsia"/>
                <w:b/>
                <w:bCs/>
                <w:szCs w:val="21"/>
                <w:lang w:val="en-US" w:eastAsia="zh-CN"/>
              </w:rPr>
              <w:t>60套</w:t>
            </w:r>
            <w:r>
              <w:rPr>
                <w:rFonts w:hint="eastAsia"/>
                <w:b/>
                <w:bCs/>
                <w:szCs w:val="21"/>
              </w:rPr>
              <w:t>）</w:t>
            </w:r>
          </w:p>
          <w:p>
            <w:pPr>
              <w:rPr>
                <w:rFonts w:hint="eastAsia"/>
                <w:szCs w:val="21"/>
              </w:rPr>
            </w:pPr>
            <w:r>
              <w:rPr>
                <w:rFonts w:hint="eastAsia"/>
                <w:szCs w:val="21"/>
              </w:rPr>
              <w:t>扩展模块，可屏蔽手机5G信号。</w:t>
            </w:r>
          </w:p>
          <w:p>
            <w:pPr>
              <w:numPr>
                <w:numId w:val="0"/>
              </w:numPr>
              <w:rPr>
                <w:rFonts w:hint="eastAsia"/>
                <w:b/>
                <w:bCs/>
                <w:szCs w:val="21"/>
              </w:rPr>
            </w:pPr>
            <w:r>
              <w:rPr>
                <w:rFonts w:hint="eastAsia"/>
                <w:b/>
                <w:bCs/>
                <w:szCs w:val="21"/>
                <w:lang w:val="en-US" w:eastAsia="zh-CN"/>
              </w:rPr>
              <w:t>3.</w:t>
            </w:r>
            <w:r>
              <w:rPr>
                <w:rFonts w:hint="eastAsia"/>
                <w:b/>
                <w:bCs/>
                <w:szCs w:val="21"/>
              </w:rPr>
              <w:t>监控室改造</w:t>
            </w:r>
          </w:p>
          <w:p>
            <w:pPr>
              <w:numPr>
                <w:numId w:val="0"/>
              </w:numPr>
              <w:rPr>
                <w:rFonts w:hint="eastAsia"/>
                <w:szCs w:val="21"/>
              </w:rPr>
            </w:pPr>
            <w:r>
              <w:rPr>
                <w:rFonts w:hint="eastAsia"/>
                <w:szCs w:val="21"/>
              </w:rPr>
              <w:t>1、监控室内设备机柜移位，含光缆熔接、电源线、网线、高清线重新走线，满足改造后使用需求。</w:t>
            </w:r>
          </w:p>
          <w:p>
            <w:pPr>
              <w:numPr>
                <w:numId w:val="0"/>
              </w:numPr>
              <w:rPr>
                <w:rFonts w:hint="eastAsia"/>
                <w:szCs w:val="21"/>
              </w:rPr>
            </w:pPr>
            <w:r>
              <w:rPr>
                <w:rFonts w:hint="eastAsia"/>
                <w:szCs w:val="21"/>
              </w:rPr>
              <w:t>2、监控电视墙改造，增加显示屏钢结构，冷轧钢，厚度≥2.5mm，两侧各一组（每组含4个框架），与原始电视墙拼接吻合。</w:t>
            </w:r>
          </w:p>
          <w:p>
            <w:pPr>
              <w:numPr>
                <w:ilvl w:val="0"/>
                <w:numId w:val="0"/>
              </w:numPr>
              <w:rPr>
                <w:rFonts w:hint="eastAsia"/>
                <w:b/>
                <w:bCs/>
                <w:szCs w:val="21"/>
              </w:rPr>
            </w:pPr>
            <w:r>
              <w:rPr>
                <w:rFonts w:hint="eastAsia"/>
                <w:b/>
                <w:bCs/>
                <w:szCs w:val="21"/>
                <w:lang w:val="en-US" w:eastAsia="zh-CN"/>
              </w:rPr>
              <w:t>4.46寸监控拼接屏</w:t>
            </w:r>
            <w:r>
              <w:rPr>
                <w:rFonts w:hint="eastAsia"/>
                <w:b/>
                <w:bCs/>
                <w:szCs w:val="21"/>
              </w:rPr>
              <w:t>（</w:t>
            </w:r>
            <w:r>
              <w:rPr>
                <w:rFonts w:hint="eastAsia"/>
                <w:b/>
                <w:bCs/>
                <w:szCs w:val="21"/>
                <w:lang w:val="en-US" w:eastAsia="zh-CN"/>
              </w:rPr>
              <w:t>12块</w:t>
            </w:r>
            <w:r>
              <w:rPr>
                <w:rFonts w:hint="eastAsia"/>
                <w:b/>
                <w:bCs/>
                <w:szCs w:val="21"/>
              </w:rPr>
              <w:t>）</w:t>
            </w:r>
          </w:p>
          <w:p>
            <w:pPr>
              <w:numPr>
                <w:numId w:val="0"/>
              </w:numPr>
              <w:rPr>
                <w:rFonts w:hint="eastAsia"/>
                <w:szCs w:val="21"/>
              </w:rPr>
            </w:pPr>
            <w:r>
              <w:rPr>
                <w:rFonts w:hint="eastAsia"/>
                <w:szCs w:val="21"/>
              </w:rPr>
              <w:t>1.46英寸；支持1920x1080分辨率；视角：178°(水平)/ 178°(垂直)；对比度：4500:1；亮度：500cd/㎡；物理拼缝小于5.3mm，响应时间8ms；</w:t>
            </w:r>
          </w:p>
          <w:p>
            <w:pPr>
              <w:numPr>
                <w:numId w:val="0"/>
              </w:numPr>
              <w:rPr>
                <w:rFonts w:hint="eastAsia"/>
                <w:szCs w:val="21"/>
              </w:rPr>
            </w:pPr>
            <w:r>
              <w:rPr>
                <w:rFonts w:hint="eastAsia"/>
                <w:szCs w:val="21"/>
              </w:rPr>
              <w:t>2.LCD显示单元采用超宽视角液晶屏，视角可达178°，画面的输出精确和稳定，色彩饱和靓丽，屏幕更加明亮。屏幕漏光度小于0.01cd/㎡，可抵抗太阳光等强光干扰,照度在95KLux能正常工作。</w:t>
            </w:r>
          </w:p>
          <w:p>
            <w:pPr>
              <w:numPr>
                <w:numId w:val="0"/>
              </w:numPr>
              <w:rPr>
                <w:rFonts w:hint="eastAsia"/>
                <w:szCs w:val="21"/>
              </w:rPr>
            </w:pPr>
            <w:r>
              <w:rPr>
                <w:rFonts w:hint="eastAsia"/>
                <w:szCs w:val="21"/>
              </w:rPr>
              <w:t>3.LCD显示单元具备智能光感护眼功能,液晶单元可自动识别环境光强弱,根据环境光变化调节屏幕亮度。</w:t>
            </w:r>
          </w:p>
          <w:p>
            <w:pPr>
              <w:numPr>
                <w:numId w:val="0"/>
              </w:numPr>
              <w:rPr>
                <w:rFonts w:hint="eastAsia"/>
                <w:szCs w:val="21"/>
              </w:rPr>
            </w:pPr>
            <w:r>
              <w:rPr>
                <w:rFonts w:hint="eastAsia"/>
                <w:szCs w:val="21"/>
              </w:rPr>
              <w:t>4. LCD显示单元支持7色独立调整、精确色彩控制、肤色校正功能。内置图像处理引擎支持RGBCMYF七种颜色亮度(IBC)、色调(IHC)、饱和度(ICC)独立调整。显示器具有厂家自带的自动校色系统，不需要人工参与自动对显示器进行色彩属性一致性校准。显示器色温可以以100K为单位，在2000K至10000K之间调节。</w:t>
            </w:r>
          </w:p>
          <w:p>
            <w:pPr>
              <w:numPr>
                <w:numId w:val="0"/>
              </w:numPr>
              <w:rPr>
                <w:rFonts w:hint="eastAsia"/>
                <w:szCs w:val="21"/>
              </w:rPr>
            </w:pPr>
            <w:r>
              <w:rPr>
                <w:rFonts w:hint="eastAsia"/>
                <w:szCs w:val="21"/>
              </w:rPr>
              <w:t>5.输入接口：VGA×1，DVI×1，BNC×1，YPbPr×1，HDMI×1；输出接口：VGA×1，DVI×1，BNC×2；可选配接口 3G SDI(输入×1、输出×1)、DP、HDbaseT、TVI(输入×1、输出×1)、网络源</w:t>
            </w:r>
          </w:p>
          <w:p>
            <w:pPr>
              <w:numPr>
                <w:numId w:val="0"/>
              </w:numPr>
              <w:rPr>
                <w:rFonts w:hint="eastAsia"/>
                <w:szCs w:val="21"/>
              </w:rPr>
            </w:pPr>
            <w:r>
              <w:rPr>
                <w:rFonts w:hint="eastAsia"/>
                <w:b/>
                <w:bCs/>
                <w:szCs w:val="21"/>
                <w:lang w:val="en-US" w:eastAsia="zh-CN"/>
              </w:rPr>
              <w:t>5高清解码器</w:t>
            </w:r>
            <w:r>
              <w:rPr>
                <w:rFonts w:hint="eastAsia"/>
                <w:b/>
                <w:bCs/>
                <w:szCs w:val="21"/>
              </w:rPr>
              <w:t>（</w:t>
            </w:r>
            <w:r>
              <w:rPr>
                <w:rFonts w:hint="eastAsia"/>
                <w:b/>
                <w:bCs/>
                <w:szCs w:val="21"/>
                <w:lang w:val="en-US" w:eastAsia="zh-CN"/>
              </w:rPr>
              <w:t>1台</w:t>
            </w:r>
            <w:r>
              <w:rPr>
                <w:rFonts w:hint="eastAsia"/>
                <w:b/>
                <w:bCs/>
                <w:szCs w:val="21"/>
              </w:rPr>
              <w:t>）</w:t>
            </w:r>
          </w:p>
          <w:p>
            <w:pPr>
              <w:numPr>
                <w:numId w:val="0"/>
              </w:numPr>
              <w:rPr>
                <w:rFonts w:hint="eastAsia"/>
                <w:szCs w:val="21"/>
              </w:rPr>
            </w:pPr>
            <w:r>
              <w:rPr>
                <w:rFonts w:hint="eastAsia"/>
                <w:szCs w:val="21"/>
              </w:rPr>
              <w:t>1.采用嵌入式架构，专用Linux系统，使用DSP解码。为了设备稳定可靠运行，没有采用工控机或者PC机的X86架构。</w:t>
            </w:r>
          </w:p>
          <w:p>
            <w:pPr>
              <w:numPr>
                <w:numId w:val="0"/>
              </w:numPr>
              <w:rPr>
                <w:rFonts w:hint="eastAsia"/>
                <w:szCs w:val="21"/>
              </w:rPr>
            </w:pPr>
            <w:r>
              <w:rPr>
                <w:rFonts w:hint="eastAsia"/>
                <w:szCs w:val="21"/>
              </w:rPr>
              <w:t>2.设备具备，10个RJ45网络接口，1路对讲输入，1路对讲输出，1个RS232接口，8路报警输入，8路报警输出，1个VGA输入接口，1个DVI输入接口。输出口支持16个HDMI接口，支持16路模拟音频输出，支持8路模拟视频输出。</w:t>
            </w:r>
          </w:p>
          <w:p>
            <w:pPr>
              <w:numPr>
                <w:numId w:val="0"/>
              </w:numPr>
              <w:rPr>
                <w:rFonts w:hint="eastAsia"/>
                <w:szCs w:val="21"/>
              </w:rPr>
            </w:pPr>
            <w:r>
              <w:rPr>
                <w:rFonts w:hint="eastAsia"/>
                <w:szCs w:val="21"/>
              </w:rPr>
              <w:t>3.设备支持客户端软件导入和导出参数配置功能。</w:t>
            </w:r>
          </w:p>
          <w:p>
            <w:pPr>
              <w:numPr>
                <w:numId w:val="0"/>
              </w:numPr>
              <w:rPr>
                <w:rFonts w:hint="eastAsia"/>
                <w:szCs w:val="21"/>
              </w:rPr>
            </w:pPr>
            <w:r>
              <w:rPr>
                <w:rFonts w:hint="eastAsia"/>
                <w:szCs w:val="21"/>
              </w:rPr>
              <w:t>4.设备支持解码显示画面任意设置大小，并可通过客户端软件使显示画面在外接多个显示屏上随意移动并跨屏显示。设备支持视频图像轮巡输出显示，可通过客户端软件将多个视频图像添加至一个轮巡组内进行轮巡。设备支持客户端或IE浏览器控制，对IPC解码显示输出。设备支持视频图像轮巡输出显示，可通过客户端软件将多个视频图像添加至一个轮巡组内进行轮巡。</w:t>
            </w:r>
          </w:p>
          <w:p>
            <w:pPr>
              <w:numPr>
                <w:numId w:val="0"/>
              </w:numPr>
              <w:rPr>
                <w:rFonts w:hint="eastAsia"/>
                <w:szCs w:val="21"/>
              </w:rPr>
            </w:pPr>
            <w:r>
              <w:rPr>
                <w:rFonts w:hint="eastAsia"/>
                <w:szCs w:val="21"/>
              </w:rPr>
              <w:t>5.设备支持按1/4/9/16画面进行分割，也支持1路输入视频发送到多个输出接口拼接显示，支持1x16到16X1共16块屏的任意拼接显示。</w:t>
            </w:r>
          </w:p>
          <w:p>
            <w:pPr>
              <w:numPr>
                <w:numId w:val="0"/>
              </w:numPr>
              <w:rPr>
                <w:rFonts w:hint="eastAsia"/>
                <w:szCs w:val="21"/>
              </w:rPr>
            </w:pPr>
            <w:r>
              <w:rPr>
                <w:rFonts w:hint="eastAsia"/>
                <w:szCs w:val="21"/>
              </w:rPr>
              <w:t>6.设备支持ONVIF、RTSP、H264、H265等协议。</w:t>
            </w:r>
          </w:p>
          <w:p>
            <w:pPr>
              <w:numPr>
                <w:numId w:val="0"/>
              </w:numPr>
              <w:rPr>
                <w:rFonts w:hint="eastAsia"/>
                <w:szCs w:val="21"/>
              </w:rPr>
            </w:pPr>
            <w:r>
              <w:rPr>
                <w:rFonts w:hint="eastAsia"/>
                <w:szCs w:val="21"/>
              </w:rPr>
              <w:t>7.设备支持4000x3000下分辨率的解码输出：可同时输出128路分辨率为1920×1080（H.264/H.265），或80路分辨率为2048×1536（H.264/H.265），或48路分辨率为2592×1944（H.264/H.265），或32路分辨率为3840×2160(H.265），或32路分辨率为4096×2160(H.264）,或16路分辨率为4000×3000的视频图像(H.264）。</w:t>
            </w:r>
          </w:p>
          <w:p>
            <w:pPr>
              <w:numPr>
                <w:numId w:val="0"/>
              </w:numPr>
              <w:rPr>
                <w:rFonts w:hint="default" w:eastAsiaTheme="minorEastAsia"/>
                <w:szCs w:val="21"/>
                <w:lang w:val="en-US" w:eastAsia="zh-CN"/>
              </w:rPr>
            </w:pPr>
            <w:r>
              <w:rPr>
                <w:rFonts w:hint="eastAsia"/>
                <w:b/>
                <w:bCs/>
                <w:szCs w:val="21"/>
                <w:lang w:val="en-US" w:eastAsia="zh-CN"/>
              </w:rPr>
              <w:t>6.电源线、网线、高清线及施工、辅材、安装、调试、考试服务</w:t>
            </w:r>
          </w:p>
        </w:tc>
      </w:tr>
      <w:tr>
        <w:tblPrEx>
          <w:tblCellMar>
            <w:top w:w="0" w:type="dxa"/>
            <w:left w:w="0" w:type="dxa"/>
            <w:bottom w:w="0" w:type="dxa"/>
            <w:right w:w="0" w:type="dxa"/>
          </w:tblCellMar>
        </w:tblPrEx>
        <w:trPr>
          <w:trHeight w:val="414"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拟定供应商名称：</w:t>
            </w:r>
            <w:r>
              <w:rPr>
                <w:rFonts w:hint="eastAsia"/>
                <w:b/>
                <w:szCs w:val="21"/>
              </w:rPr>
              <w:t>成都佳发安泰教育科技股份有限公司</w:t>
            </w:r>
            <w:r>
              <w:rPr>
                <w:rFonts w:hint="eastAsia"/>
                <w:szCs w:val="21"/>
              </w:rPr>
              <w:t>，地址：</w:t>
            </w:r>
            <w:r>
              <w:rPr>
                <w:rStyle w:val="7"/>
                <w:rFonts w:hint="eastAsia" w:ascii="Arial" w:hAnsi="Arial" w:cs="Arial"/>
                <w:color w:val="auto"/>
                <w:szCs w:val="21"/>
              </w:rPr>
              <w:t>四川</w:t>
            </w:r>
            <w:r>
              <w:rPr>
                <w:rStyle w:val="7"/>
                <w:rFonts w:ascii="Arial" w:hAnsi="Arial" w:cs="Arial"/>
                <w:color w:val="auto"/>
                <w:szCs w:val="21"/>
              </w:rPr>
              <w:t>成都</w:t>
            </w:r>
          </w:p>
        </w:tc>
      </w:tr>
      <w:tr>
        <w:tblPrEx>
          <w:tblCellMar>
            <w:top w:w="0" w:type="dxa"/>
            <w:left w:w="0" w:type="dxa"/>
            <w:bottom w:w="0" w:type="dxa"/>
            <w:right w:w="0" w:type="dxa"/>
          </w:tblCellMar>
        </w:tblPrEx>
        <w:trPr>
          <w:trHeight w:val="1345"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申请理由及相关说明：</w:t>
            </w:r>
          </w:p>
          <w:p>
            <w:pPr>
              <w:ind w:firstLine="420" w:firstLineChars="200"/>
              <w:rPr>
                <w:szCs w:val="21"/>
              </w:rPr>
            </w:pPr>
            <w:r>
              <w:rPr>
                <w:szCs w:val="21"/>
              </w:rPr>
              <w:t>深圳乃至广东全省高考考场专用设备均系</w:t>
            </w:r>
            <w:r>
              <w:rPr>
                <w:rFonts w:hint="eastAsia"/>
                <w:szCs w:val="21"/>
              </w:rPr>
              <w:t>省考试院、招办招标采购的成都佳发安泰教育科技股份有限公司提供的考场专用设备：身份采集及验证终端和屏蔽终端，此次</w:t>
            </w:r>
            <w:r>
              <w:rPr>
                <w:rFonts w:hint="eastAsia"/>
                <w:bCs/>
                <w:szCs w:val="21"/>
              </w:rPr>
              <w:t>高考考场专用设备增补系在原有基础上增加，故选择同一品牌、同一平台产品，以便科学管理。</w:t>
            </w:r>
          </w:p>
        </w:tc>
      </w:tr>
      <w:tr>
        <w:tblPrEx>
          <w:tblCellMar>
            <w:top w:w="0" w:type="dxa"/>
            <w:left w:w="0" w:type="dxa"/>
            <w:bottom w:w="0" w:type="dxa"/>
            <w:right w:w="0" w:type="dxa"/>
          </w:tblCellMar>
        </w:tblPrEx>
        <w:trPr>
          <w:trHeight w:val="409"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征求意见期限：从20</w:t>
            </w:r>
            <w:r>
              <w:rPr>
                <w:szCs w:val="21"/>
              </w:rPr>
              <w:t>2</w:t>
            </w:r>
            <w:r>
              <w:rPr>
                <w:rFonts w:hint="eastAsia"/>
                <w:szCs w:val="21"/>
                <w:lang w:val="en-US" w:eastAsia="zh-CN"/>
              </w:rPr>
              <w:t>2</w:t>
            </w:r>
            <w:r>
              <w:rPr>
                <w:rFonts w:hint="eastAsia"/>
                <w:szCs w:val="21"/>
              </w:rPr>
              <w:t>年</w:t>
            </w:r>
            <w:r>
              <w:rPr>
                <w:rFonts w:hint="eastAsia"/>
                <w:szCs w:val="21"/>
                <w:lang w:val="en-US" w:eastAsia="zh-CN"/>
              </w:rPr>
              <w:t>04</w:t>
            </w:r>
            <w:r>
              <w:rPr>
                <w:rFonts w:hint="eastAsia"/>
                <w:szCs w:val="21"/>
              </w:rPr>
              <w:t>月</w:t>
            </w:r>
            <w:r>
              <w:rPr>
                <w:rFonts w:hint="eastAsia"/>
                <w:szCs w:val="21"/>
                <w:lang w:val="en-US" w:eastAsia="zh-CN"/>
              </w:rPr>
              <w:t>14</w:t>
            </w:r>
            <w:r>
              <w:rPr>
                <w:rFonts w:hint="eastAsia"/>
                <w:szCs w:val="21"/>
              </w:rPr>
              <w:t>日起至20</w:t>
            </w:r>
            <w:r>
              <w:rPr>
                <w:szCs w:val="21"/>
              </w:rPr>
              <w:t>2</w:t>
            </w:r>
            <w:r>
              <w:rPr>
                <w:rFonts w:hint="eastAsia"/>
                <w:szCs w:val="21"/>
                <w:lang w:val="en-US" w:eastAsia="zh-CN"/>
              </w:rPr>
              <w:t>2</w:t>
            </w:r>
            <w:r>
              <w:rPr>
                <w:rFonts w:hint="eastAsia"/>
                <w:szCs w:val="21"/>
              </w:rPr>
              <w:t>年</w:t>
            </w:r>
            <w:r>
              <w:rPr>
                <w:rFonts w:hint="eastAsia"/>
                <w:szCs w:val="21"/>
                <w:lang w:val="en-US" w:eastAsia="zh-CN"/>
              </w:rPr>
              <w:t>04</w:t>
            </w:r>
            <w:r>
              <w:rPr>
                <w:rFonts w:hint="eastAsia"/>
                <w:szCs w:val="21"/>
              </w:rPr>
              <w:t>月</w:t>
            </w:r>
            <w:r>
              <w:rPr>
                <w:rFonts w:hint="eastAsia"/>
                <w:szCs w:val="21"/>
                <w:lang w:val="en-US" w:eastAsia="zh-CN"/>
              </w:rPr>
              <w:t>16</w:t>
            </w:r>
            <w:r>
              <w:rPr>
                <w:rFonts w:hint="eastAsia"/>
                <w:szCs w:val="21"/>
              </w:rPr>
              <w:t>日止</w:t>
            </w:r>
          </w:p>
        </w:tc>
      </w:tr>
      <w:tr>
        <w:tblPrEx>
          <w:tblCellMar>
            <w:top w:w="0" w:type="dxa"/>
            <w:left w:w="0" w:type="dxa"/>
            <w:bottom w:w="0" w:type="dxa"/>
            <w:right w:w="0" w:type="dxa"/>
          </w:tblCellMar>
        </w:tblPrEx>
        <w:trPr>
          <w:trHeight w:val="1715"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联系方式：</w:t>
            </w:r>
          </w:p>
          <w:p>
            <w:pPr>
              <w:rPr>
                <w:szCs w:val="21"/>
              </w:rPr>
            </w:pPr>
            <w:r>
              <w:rPr>
                <w:rFonts w:hint="eastAsia"/>
                <w:szCs w:val="21"/>
              </w:rPr>
              <w:t>　　采购人: 深圳实验学校</w:t>
            </w:r>
          </w:p>
          <w:p>
            <w:pPr>
              <w:rPr>
                <w:szCs w:val="21"/>
              </w:rPr>
            </w:pPr>
            <w:r>
              <w:rPr>
                <w:rFonts w:hint="eastAsia"/>
                <w:szCs w:val="21"/>
              </w:rPr>
              <w:t>　　地址：深圳市福田区百花六路6号</w:t>
            </w:r>
          </w:p>
          <w:p>
            <w:pPr>
              <w:rPr>
                <w:szCs w:val="21"/>
              </w:rPr>
            </w:pPr>
            <w:r>
              <w:rPr>
                <w:rFonts w:hint="eastAsia"/>
                <w:szCs w:val="21"/>
              </w:rPr>
              <w:t>　　联系电话：0755-83361313</w:t>
            </w:r>
          </w:p>
          <w:p>
            <w:pPr>
              <w:ind w:firstLine="420" w:firstLineChars="200"/>
              <w:rPr>
                <w:szCs w:val="21"/>
              </w:rPr>
            </w:pPr>
            <w:r>
              <w:rPr>
                <w:rFonts w:hint="eastAsia"/>
                <w:szCs w:val="21"/>
              </w:rPr>
              <w:t>电子邮箱：szsyyjy@szsy.cn　</w:t>
            </w:r>
          </w:p>
        </w:tc>
      </w:tr>
      <w:tr>
        <w:tblPrEx>
          <w:tblCellMar>
            <w:top w:w="0" w:type="dxa"/>
            <w:left w:w="0" w:type="dxa"/>
            <w:bottom w:w="0" w:type="dxa"/>
            <w:right w:w="0" w:type="dxa"/>
          </w:tblCellMar>
        </w:tblPrEx>
        <w:trPr>
          <w:trHeight w:val="774" w:hRule="atLeast"/>
        </w:trPr>
        <w:tc>
          <w:tcPr>
            <w:tcW w:w="5000" w:type="pct"/>
            <w:tcBorders>
              <w:top w:val="nil"/>
              <w:left w:val="single" w:color="auto" w:sz="8" w:space="0"/>
              <w:bottom w:val="single" w:color="auto" w:sz="8" w:space="0"/>
              <w:right w:val="single" w:color="auto" w:sz="8" w:space="0"/>
            </w:tcBorders>
            <w:tcMar>
              <w:top w:w="0" w:type="dxa"/>
              <w:left w:w="108" w:type="dxa"/>
              <w:bottom w:w="0" w:type="dxa"/>
              <w:right w:w="108" w:type="dxa"/>
            </w:tcMar>
          </w:tcPr>
          <w:p>
            <w:pPr>
              <w:rPr>
                <w:szCs w:val="21"/>
              </w:rPr>
            </w:pPr>
            <w:r>
              <w:rPr>
                <w:rFonts w:hint="eastAsia"/>
                <w:szCs w:val="21"/>
              </w:rPr>
              <w:t>备注：潜在供应商对公示内容有异议的，请于公示之日起至期满后两个工作日内以实名书面（包括联系人、地址、联系电话）形式将意见反馈至深圳实验学校。</w:t>
            </w:r>
          </w:p>
        </w:tc>
      </w:tr>
    </w:tbl>
    <w:p/>
    <w:sectPr>
      <w:pgSz w:w="11906" w:h="16838"/>
      <w:pgMar w:top="851" w:right="1077" w:bottom="851"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865"/>
    <w:rsid w:val="00164ABD"/>
    <w:rsid w:val="00165F7C"/>
    <w:rsid w:val="001C62FC"/>
    <w:rsid w:val="0020414F"/>
    <w:rsid w:val="00284AE9"/>
    <w:rsid w:val="002A70AA"/>
    <w:rsid w:val="00324EF8"/>
    <w:rsid w:val="00387695"/>
    <w:rsid w:val="003B3562"/>
    <w:rsid w:val="004853B5"/>
    <w:rsid w:val="00544BED"/>
    <w:rsid w:val="0057666E"/>
    <w:rsid w:val="0059559E"/>
    <w:rsid w:val="005A69A7"/>
    <w:rsid w:val="005E4204"/>
    <w:rsid w:val="007170EC"/>
    <w:rsid w:val="00765865"/>
    <w:rsid w:val="00766BCD"/>
    <w:rsid w:val="007D6C9F"/>
    <w:rsid w:val="008070CE"/>
    <w:rsid w:val="008421E5"/>
    <w:rsid w:val="00864781"/>
    <w:rsid w:val="0087736A"/>
    <w:rsid w:val="008E5B3D"/>
    <w:rsid w:val="00930628"/>
    <w:rsid w:val="00A50346"/>
    <w:rsid w:val="00A6216B"/>
    <w:rsid w:val="00AE221A"/>
    <w:rsid w:val="00B2517D"/>
    <w:rsid w:val="00B8055A"/>
    <w:rsid w:val="00C01CCC"/>
    <w:rsid w:val="00CF235D"/>
    <w:rsid w:val="00CF486D"/>
    <w:rsid w:val="00D265D2"/>
    <w:rsid w:val="00DC5414"/>
    <w:rsid w:val="00E138B9"/>
    <w:rsid w:val="00E44EB3"/>
    <w:rsid w:val="00E472DA"/>
    <w:rsid w:val="00EF2619"/>
    <w:rsid w:val="00F84901"/>
    <w:rsid w:val="01DB519B"/>
    <w:rsid w:val="040629BF"/>
    <w:rsid w:val="133B477E"/>
    <w:rsid w:val="42FB28B7"/>
    <w:rsid w:val="498651BB"/>
    <w:rsid w:val="5A1860B5"/>
    <w:rsid w:val="5A6F6AF5"/>
    <w:rsid w:val="5D4172B8"/>
    <w:rsid w:val="5FB95430"/>
    <w:rsid w:val="616C753F"/>
    <w:rsid w:val="62BF7155"/>
    <w:rsid w:val="694853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unhideWhenUsed/>
    <w:qFormat/>
    <w:uiPriority w:val="99"/>
    <w:pPr>
      <w:tabs>
        <w:tab w:val="center" w:pos="4153"/>
        <w:tab w:val="right" w:pos="8306"/>
      </w:tabs>
      <w:snapToGrid w:val="0"/>
      <w:jc w:val="left"/>
    </w:pPr>
    <w:rPr>
      <w:sz w:val="18"/>
      <w:szCs w:val="18"/>
    </w:rPr>
  </w:style>
  <w:style w:type="paragraph" w:styleId="3">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FollowedHyperlink"/>
    <w:basedOn w:val="5"/>
    <w:semiHidden/>
    <w:unhideWhenUsed/>
    <w:qFormat/>
    <w:uiPriority w:val="99"/>
    <w:rPr>
      <w:color w:val="333333"/>
      <w:u w:val="none"/>
    </w:rPr>
  </w:style>
  <w:style w:type="character" w:styleId="7">
    <w:name w:val="Emphasis"/>
    <w:basedOn w:val="5"/>
    <w:qFormat/>
    <w:uiPriority w:val="20"/>
    <w:rPr>
      <w:color w:val="CC0000"/>
    </w:rPr>
  </w:style>
  <w:style w:type="character" w:styleId="8">
    <w:name w:val="HTML Definition"/>
    <w:basedOn w:val="5"/>
    <w:semiHidden/>
    <w:unhideWhenUsed/>
    <w:qFormat/>
    <w:uiPriority w:val="99"/>
  </w:style>
  <w:style w:type="character" w:styleId="9">
    <w:name w:val="HTML Acronym"/>
    <w:basedOn w:val="5"/>
    <w:semiHidden/>
    <w:unhideWhenUsed/>
    <w:qFormat/>
    <w:uiPriority w:val="99"/>
  </w:style>
  <w:style w:type="character" w:styleId="10">
    <w:name w:val="HTML Variable"/>
    <w:basedOn w:val="5"/>
    <w:semiHidden/>
    <w:unhideWhenUsed/>
    <w:qFormat/>
    <w:uiPriority w:val="99"/>
  </w:style>
  <w:style w:type="character" w:styleId="11">
    <w:name w:val="Hyperlink"/>
    <w:basedOn w:val="5"/>
    <w:semiHidden/>
    <w:unhideWhenUsed/>
    <w:qFormat/>
    <w:uiPriority w:val="99"/>
    <w:rPr>
      <w:color w:val="333333"/>
      <w:u w:val="none"/>
    </w:rPr>
  </w:style>
  <w:style w:type="character" w:styleId="12">
    <w:name w:val="HTML Code"/>
    <w:basedOn w:val="5"/>
    <w:semiHidden/>
    <w:unhideWhenUsed/>
    <w:qFormat/>
    <w:uiPriority w:val="99"/>
    <w:rPr>
      <w:rFonts w:ascii="Courier New" w:hAnsi="Courier New"/>
      <w:sz w:val="20"/>
    </w:rPr>
  </w:style>
  <w:style w:type="character" w:styleId="13">
    <w:name w:val="HTML Cite"/>
    <w:basedOn w:val="5"/>
    <w:semiHidden/>
    <w:unhideWhenUsed/>
    <w:qFormat/>
    <w:uiPriority w:val="99"/>
  </w:style>
  <w:style w:type="character" w:customStyle="1" w:styleId="14">
    <w:name w:val="页眉 Char"/>
    <w:basedOn w:val="5"/>
    <w:link w:val="3"/>
    <w:qFormat/>
    <w:uiPriority w:val="99"/>
    <w:rPr>
      <w:sz w:val="18"/>
      <w:szCs w:val="18"/>
    </w:rPr>
  </w:style>
  <w:style w:type="character" w:customStyle="1" w:styleId="15">
    <w:name w:val="页脚 Char"/>
    <w:basedOn w:val="5"/>
    <w:link w:val="2"/>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129</Words>
  <Characters>737</Characters>
  <Lines>6</Lines>
  <Paragraphs>1</Paragraphs>
  <TotalTime>3</TotalTime>
  <ScaleCrop>false</ScaleCrop>
  <LinksUpToDate>false</LinksUpToDate>
  <CharactersWithSpaces>865</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2021-04-28T01:54:00Z</dcterms:created>
  <dc:creator>叶老师</dc:creator>
  <cp:lastModifiedBy>白开水</cp:lastModifiedBy>
  <dcterms:modified xsi:type="dcterms:W3CDTF">2022-04-14T07:07:00Z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F78E72416B8A4E0B915D214BEB685EC0</vt:lpwstr>
  </property>
</Properties>
</file>