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深圳实验学校高中部功能教室中控设备更新</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2009</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二二年</w:t>
      </w:r>
      <w:r>
        <w:rPr>
          <w:rFonts w:hint="eastAsia" w:ascii="黑体" w:hAnsi="华文中宋" w:eastAsia="黑体" w:cs="Arial"/>
          <w:sz w:val="32"/>
          <w:szCs w:val="32"/>
          <w:lang w:val="en-US" w:eastAsia="zh-CN"/>
        </w:rPr>
        <w:t>六</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十六</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2009</w:t>
      </w:r>
    </w:p>
    <w:p>
      <w:pPr>
        <w:adjustRightInd w:val="0"/>
        <w:snapToGrid w:val="0"/>
        <w:spacing w:line="360" w:lineRule="auto"/>
        <w:rPr>
          <w:rFonts w:hint="default" w:ascii="宋体" w:hAnsi="宋体" w:cs="宋体"/>
          <w:szCs w:val="21"/>
          <w:lang w:val="en-US"/>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深圳实验学校高中部功能教室中控设备更新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w:t>
            </w:r>
            <w:r>
              <w:rPr>
                <w:rFonts w:hint="eastAsia" w:ascii="宋体" w:hAnsi="宋体"/>
                <w:szCs w:val="21"/>
                <w:lang w:val="en-US" w:eastAsia="zh-CN"/>
              </w:rPr>
              <w:t>关键页复印件</w:t>
            </w:r>
            <w:bookmarkStart w:id="30" w:name="_GoBack"/>
            <w:bookmarkEnd w:id="30"/>
            <w:r>
              <w:rPr>
                <w:rFonts w:hint="eastAsia" w:ascii="宋体" w:hAnsi="宋体"/>
                <w:szCs w:val="21"/>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
      <w:bookmarkEnd w:id="3"/>
      <w:bookmarkStart w:id="4" w:name="合同格式"/>
      <w:bookmarkEnd w:id="4"/>
      <w:bookmarkStart w:id="5" w:name="bt合同条款及格式"/>
      <w:bookmarkEnd w:id="5"/>
      <w:bookmarkStart w:id="6" w:name="bt投标人情况介绍"/>
      <w:bookmarkEnd w:id="6"/>
      <w:bookmarkStart w:id="7" w:name="bt商务标投标文件格式"/>
      <w:bookmarkEnd w:id="7"/>
      <w:bookmarkStart w:id="8" w:name="bt其他资料由投标人自定"/>
      <w:bookmarkEnd w:id="8"/>
      <w:bookmarkStart w:id="9" w:name="bt投标报价汇总表"/>
      <w:bookmarkEnd w:id="9"/>
      <w:bookmarkStart w:id="10" w:name="bt技术标投标文件格式"/>
      <w:bookmarkEnd w:id="10"/>
      <w:bookmarkStart w:id="11" w:name="bt本工程承诺书"/>
      <w:bookmarkEnd w:id="11"/>
      <w:bookmarkStart w:id="12" w:name="bt投标人须知"/>
      <w:bookmarkEnd w:id="12"/>
      <w:bookmarkStart w:id="13" w:name="bt投标函"/>
      <w:bookmarkEnd w:id="13"/>
      <w:bookmarkStart w:id="14" w:name="bt合同格式"/>
      <w:bookmarkEnd w:id="14"/>
      <w:bookmarkStart w:id="15" w:name="bt开标一览表"/>
      <w:bookmarkEnd w:id="15"/>
      <w:bookmarkStart w:id="16" w:name="bt说明"/>
      <w:bookmarkEnd w:id="16"/>
      <w:bookmarkStart w:id="17" w:name="bt投标文件签署授权委托书"/>
      <w:bookmarkEnd w:id="17"/>
      <w:bookmarkStart w:id="18" w:name="bt其他资料2"/>
      <w:bookmarkEnd w:id="18"/>
      <w:bookmarkStart w:id="19" w:name="bt项目管理班子配备情况"/>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635"/>
      <w:bookmarkStart w:id="21" w:name="_Toc100052364"/>
      <w:bookmarkStart w:id="22" w:name="_Toc101074876"/>
      <w:bookmarkStart w:id="23" w:name="_Toc73517639"/>
      <w:bookmarkStart w:id="24" w:name="_Toc60560625"/>
      <w:bookmarkStart w:id="25" w:name="_Toc60631620"/>
      <w:bookmarkStart w:id="26" w:name="_Toc73521547"/>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深圳实验学校高中部功能教室中控设备更新</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963"/>
        <w:gridCol w:w="2696"/>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9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69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83400</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智能融合信息终端</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智能触控面板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多媒体教学音箱</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智慧教育终端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多媒体云节点软件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0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2329"/>
        <w:gridCol w:w="52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5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序号</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zh-CN" w:eastAsia="zh-CN" w:bidi="ar"/>
              </w:rPr>
              <w:t>货物名称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招标技术要求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像素：≥800万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幅面：≥A4幅面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清晰度：≥1600线，四周1400线（1：1模式下）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接口：USB2.0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带HDMI接口，1080P输出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麦克风：内置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有效像素：≥3264*2448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实时批注：支持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智能融合信息终端</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标准1U机架式设计，主板采用工业级高速嵌入式MIPS CPU，定制LINUX操作系统。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集成千兆交换机，网口≥5口，SFP光口≥1路，支持VLAN划分≥4路。（投标时提供具有第三方认证机构的检测报告扫描件，原件备查）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数字功放，功率≥40W*2，3.5mm立体声音频线性输入接口≥2路，3.5mm立体声音频线性输出≥1路，带幻象供电麦克风输入接口≥2路。集成3*2HDMI视频矩阵，输入信号HDMI高清接口≥3路，输出信号HDMI高清接口≥2路，HDBaseT输出接口≥1路，可扩展通过HDBaseT接口外接控制模块实现教室双屏显示系统的独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集成物联接口，可编程RS232控制通信端口≥2路，USB通信接口≥2路，磁控锁IO控制接口≥2路，控制面板接口≥1路，支持集成无线物联功能的控制面板。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集成强电管理，采用防脱落电源插口，独立电源输出接口≥3路，每路负载电流≥10A。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集成无线麦克风接收器，可接入1路同品牌无线麦克风。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具备对两台投影机分别进行控制代码修改和配置修改。（投标时提供具有第三方认证机构的检测报告扫描件，原件备查）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内置WEB端，可配置系统参数和所控制设备参数配置等。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支持本地操控，可管理教室接入设备及扩展的电源模块≥14路，可精确统计接入设备的能耗及使用时长，支持列表或图表显示。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可扩展升级高清视频解码、数字广播模块，可实现智能终端的IP数字广播、高清视频的实时接收、解码及播放。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通过融合平台软件及微信小程序可实现远程对终端设备及物联模块进行定时集控管理（设备开机、关机、禁用，物联模块通电、断电等）。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所投设备的运行无故障时间≥70000小时；（投标时提供设备的运行无故障时间≥70000小时检测报告。）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提供所投产品“智能融合信息终端”的知识产权管理体系认证证书和所投产品对应型号并在有效期之内的3C认证证书（投标时提供证明文件扫描件，原件备查）。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智能触控面板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1、一体化设计，采用隐藏式安装和走线，桌面整洁美观。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2、需具备触摸屏功能，不小于5英寸工业触摸屏，不小于1个触摸按键。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3、需具备显示设备信息，支持中英文切换功能。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4、需具备物联接收模块，可接入无线麦克风及物联模块。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5、需具备IC卡读卡器，支持插卡或者刷卡两种开机模式。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6、需具备IP对讲功能，可实现远程IP对讲，语音监听。（提供功能截图）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7、支持设备故障报修功能，如中控故障、投影故障、电脑故障、扩音故障。（提供功能截图）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多媒体教学音箱</w:t>
            </w:r>
          </w:p>
        </w:tc>
        <w:tc>
          <w:tcPr>
            <w:tcW w:w="5235"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 室内壁挂式安装，角度可调节；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高强度工程环保塑料一次注塑成形；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具备号角式结构设计，在同等声压下可输出更大动态范围；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内置4寸×6寸的专业定制低音单元，94mm球顶高音单元；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 音乐功率：50-100W；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阻抗：8欧姆；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总谐波失真：低音喇叭＜5% ，高音喇叭＜3%；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灵敏度：90±3dB；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智慧教育终端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1、视频输入：1路HDMI接口、1路DVI-I接口（兼容VGA、HDMI、DVI-D、YPbPr）、本地IP网络摄像机接入支持最大不少于12路，同时网络转发支持最大不少于4路；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2、视频输出：2路HDMI接口；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3、音频输入：6路凤凰端子输入，同时支持48V幻像供电MIC输入和line in线性输入；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4、音频输出：2对L/R凤凰端子立体声输出、2路50W@8欧姆的数字功放输出；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5、控制口：4路RS-232/RS-485、2路RELAY、1路I/O、2路红外IR；</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6、千兆网络交换机：1路WAN口，5路LAN口，可划分VLAN，其中4路支持POE供电；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Type-A型，1路USB Type-B型，支持录制内容自动拷贝，系统升级，远程KVM协助维护操作电脑；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9、支持录制文件内容管理（下载/导出/编辑/删除），标配2TB监控级硬盘，最大可选配到8TB的 3.5寸监控级硬盘；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10、标准19英寸机架安装，高度不大于1U；</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11、内置自动导播客户端和导播策略，支持多机位自动录播教学录制；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12、支持与平台网关对接，通过控制面板可控制物联网模块；</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13、可扩展多点视频互动，单台支持1+5方视频互动；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多媒体云节点软件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一体化主机，同时内置多路全高清编解码器、视频混合矩阵、数字音频处理器、数字功放、智能中控、POE千兆网络交换机、KVM等模块，因此无需购买额外的部件、转接器、线缆，节省设备空间，无需厂家驻场服务，端到端大大地降低设备功耗和维护成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一体化主机同时支持RS-232、RS-485、RELAY、I/O、红外、USB、功放、MIC输入（支持幻象供电）、立体声、DVI-I（兼容VGA、HDMI、DVI-D、YPbPr）、HDMI（1.3含音频）、IP网络编解码输入输出等丰富的接口类型，轻松兼容各种主流视音频外设和环境外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一体化主机集成超强性能的DSP和视音频矩阵，单台设备可以“同时”实现多种场景应用：本地多媒体中控应用、同时支持不少于5方远程互动、远程直播录播、远程巡视等应用，针对每个应用预留足够的、独立的高清视音频处理资源，因而无需担心同时应用时存在各种复杂的限制和约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4、一体化主机支持对每路视频独立编解码，最高可支持4K30视频编解码，最大4路1080P60编码，同时最大4路1080P@60解码，或者8路1080P@30编码和8路1080P@30解码；支持H.265、H.264 HP Level 4.2，向下兼容H.264 BP和MP，实现广电级画质编解码、色彩无损还原；不仅可以实现4K30高清，还可节省网络带宽；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5、一体化主机综合使用超强纠错(SEC)、丢包重传(ARQ)、视频FEC（前向纠错）3种抗丢包处理技术，在网络丢包率达20%环境下仍可保障视频流畅；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6、一体化主机采用智能调速（IRC）技术，在带宽受限导致丢包的情况下，预测并动态调整视频呼叫时的码流带宽，尽量使得音视频体验达到最佳；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7、一体化主机具备最大可达600ms的抗网络抖动能力，保证网络存在抖动时基本不影响互动呼叫的顺利进行；</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8、一体化主机支持DiffServ(DSCP)和IP Precedence两种路由器QoS策略，保证视音频码流和网管信令等传输更可靠；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一体化主机内置混合视频矩阵、多画面拼接和录播客户端，支持各种视频切换、分配、拼接、字幕叠加、图像参数调节，内置本地录播及存储功能，支持网络直播、点播和推送功能，极大丰富了各种播放手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10、内置视频分割功能，可实现单分屏、双分屏、三分屏、九分屏、十六分屏等单画面/画中画/画外画拼接、字幕叠加；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11、支持视频分辨率适配、切换、分配、画面分割、字幕叠加、图像参数调节；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12、一体化主机支持多媒体分布式系统控制服务，支持图像预览可视化控制及分布式上屏显示，作为分布式的输入输出接口机使用；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13、音频处理器模块混音功能：同时支持本地音频、HDMI内嵌音频、远端音频RTSP网络接入流进入混音器，可动态选择混音；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14、音频处理模块支持自动回声消除（AEC）、自动增益控制（AGC）、自动噪声消除（ANC）、自动反馈消除（AFC）、混音矩阵（AM）、丢包补偿（PLC）；</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15、支持SIP双流视频会议呼叫，支持不少于5方的远程视频会议互动，支持RTMP推流到云平台；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16、一体化主机采用一体化单板设计，板间采用工业级连接器、主板内无飞线，并非小厂家的硬件小板拼凑方案；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17、采用嵌入式操作系统，提供比Windows等操作系统更高的安全性及病毒免疫能力；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18、通讯协议：SIP、BFCP双流、RTSP、RTMP、TCP/IP、HTTP、FTP、NTP、RTP、RTCP、Telnet；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19、支持U盘自动拷贝主机录制文件，U盘系统强制升级并恢复初始化配置，支持USB KVM远程管理；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20、可维护性：软件升级、指示灯、红外学习、日志管理、串口调试、telnet远程调试、网络远程管理；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21、电源双开关保证系统安全、节能环保、使用方便，前面板强电软开关，后面板强电硬开关；支持网络休眠和唤醒，一键式开关系统。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1、10.1英寸1280×800 ，16：10 LCD液晶。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2、Quad core cortex A17 ARM架构。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3、安卓8.1.1系统，系统运行内存2GB，存储16GB。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4、触摸方式：电容式，10点触摸。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5、对比度 800  亮度 250cd/m2 ，全视角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6、有线网口：10/100Mbps自适应网络接口；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7、WiFi  802.11b/g/n  蓝牙4.0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HOST接口，USB 用于串口（RS232格式）；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9、音频接口：1路MIC，2*2W喇叭，3.5mm立体声耳机输出；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10、电源：电源适配器 12V/1.5A；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11、工作温度：0--40度；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12、尺寸：217.38mm（L）*136.16mm(W)*63.25mm(H)；</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类型：预极化电容式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指向性：超心形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拾音扇面：≤100°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频率响应：30-20,000HZ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敏感度：-50dB±3dB（1Db=1V/ Pa at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阻抗： 600Ω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最大声压级：132Db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信噪比：&gt;70Db,1Khz at 1Pa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动态范围：108Db,1kHZ at Max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幻象电源;48VDC,2mA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尺寸:长240mm；直径21.0mm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连接端;XLR三针公卡侬</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1、麦克风吊装支架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2、伸缩范围：75-150CM；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3、材质：铝合金；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4、材质：铝合金，表面氧化；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98"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两通道接收信号 每通道有100个可选信道，共有200个通道；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UHF频段传输信号，信号之间以250KHz步进，对频采用红外方式；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小机箱，配备1U铝材金属面板；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接收机和发射器均配置2.7寸VA LCD显示屏，工作状态一目了然；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接收机背面配置2条橡胶天线，增强接收的信号且彰显高档的外观；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同时设置1个6.3混音输出，每通道一个平衡独立输出，适合连接各种外置设备；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每通道采用18级电子音量调节音量大小；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使用距离： 开阔约80米；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音频和数据采用专用导频信号和ID码方式，有效防止串音和干扰；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接收器可以一目了然观察发射器的电池，信号和音频信号等工作状态；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采用高保真动圈式咪头，让你的声线更动听；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每通道具有天线分集功能，可自动指示当前天线状态，抗干扰更强；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接收器具有自动扫频功能，长按“上”键进入；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每通道具有按键锁定功能，长按“SET”键切换，显示屏上并有指示，防止误按；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音量设置和频率设置具有单独按键，工程设置更方便。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频率范围： UHF 624.2MHz-673.95MHz  CH1：624.2---648.95MHz，CH2：649.2—673.95MHz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频率稳定性： ± 0.005%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调制方式： FM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 &gt;105dB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灵敏度Sensitivity： 5dBμV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失真度： ＜0.4% @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接收灵敏度：-108dB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 65Hz～18KHz ± 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电源供应：DC 12V/1A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无线手持话筒参数：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具有发射功率可调开关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发射功率：8mW(LO)/13mW(HI)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类型：动圈式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无线领夹话筒参数：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类型：电容式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6"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 类型：8"高端无源二分频扬声器；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 低音单元：8"铁氧体单元×1，1.38"音圈；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 高音单元：1"喉口铁氧体单元×1，1.4"音圈；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 功率：持续200W，节目400W，峰值800W；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 连接特性：定阻；</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 阻抗：8Ω；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 频率响应：70Hz- 20kHz（-10dB）；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 灵敏度：91dB；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 最大声压级：RMS114dB，Peak121dB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 指向角度：H60°×V60°；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 输入接口：弹簧按压式接线口；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 吊挂系统：2×M8个吊挂点＋2×壁挂点；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 箱体材料：15mm中纤板/油性漆；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 尺寸：H440×W270×D220（mm）；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 净重：9.5kg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功能特点：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采用Class D技术，转换效率可达90%以上；</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1U设计、机身轻、方便携带和安装；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自动限幅输出、短路、过载、过温、开机延时等保护功能；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功放配备延时启动系统，保护音箱不受冲击而损坏；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后板配备双通道、单通道、桥接输出转换；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平衡输入接口，SPEAKON输出；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功放开关电源带有单独的冷却系统；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散热风扇采用先进的无级变速电路控制；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技术参数：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额定功率：2×350W/8欧，2×550W/4欧；桥接：1×1100W/8欧；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频率响应：20Hz-20kHz（±3dB）；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总谐波失真(THD)：≤0.05% (8Ω、350W)；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输入灵敏度：+4dB@(1.23V)；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输入阻抗：10kΩ(电子平衡式)；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信噪比：≥80dB；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阻尼系数(20Hz-200Hz)：≥500；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输入(CH1-2)：XLR输入连接器；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输出(CH1-2)：SPEAKON输出端；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电源:：AC电源；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电源显示灯：×1(绿色)；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输入显示灯：×2(黄色)；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峰值显示灯：×2(红色)；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保护回路动作显示灯：×1(红色)；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电源电压：AC110-120V、50/60Hz AC220-240V、50/60Hz(利用内部跳线切换)；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 额定动作时消耗功率：110W；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使用环境的温度范围：0~50℃；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使用环境的湿度范围：90%RH以下；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尺寸(W×H×D)：483×45×240 (mm)；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净重：3.4kg；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线管，音响线，音频线、高清线、莲花插头、信号控制线，非屏蔽双绞线，卡侬公母插头，音响欧姆头，3.5mm音频头等。安装调试人工、培训和售后服务</w:t>
            </w: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260" w:type="dxa"/>
            <w:noWrap w:val="0"/>
            <w:vAlign w:val="center"/>
          </w:tcPr>
          <w:p>
            <w:pPr>
              <w:jc w:val="center"/>
              <w:rPr>
                <w:rFonts w:hint="eastAsia" w:ascii="宋体" w:hAnsi="宋体" w:eastAsia="宋体" w:cs="宋体"/>
                <w:b/>
                <w:lang w:val="en-US" w:eastAsia="zh-CN"/>
              </w:rPr>
            </w:pPr>
            <w:r>
              <w:rPr>
                <w:rFonts w:hint="eastAsia" w:ascii="宋体" w:hAnsi="宋体" w:cs="宋体"/>
                <w:b/>
                <w:lang w:val="en-US" w:eastAsia="zh-CN"/>
              </w:rPr>
              <w:t>3</w:t>
            </w:r>
          </w:p>
        </w:tc>
        <w:tc>
          <w:tcPr>
            <w:tcW w:w="1620" w:type="dxa"/>
            <w:noWrap w:val="0"/>
            <w:vAlign w:val="center"/>
          </w:tcPr>
          <w:p>
            <w:pPr>
              <w:rPr>
                <w:rFonts w:hint="eastAsia" w:ascii="宋体" w:hAnsi="宋体" w:eastAsia="宋体" w:cs="宋体"/>
                <w:lang w:val="en-US" w:eastAsia="zh-CN"/>
              </w:rPr>
            </w:pPr>
            <w:r>
              <w:rPr>
                <w:rFonts w:hint="eastAsia" w:ascii="宋体" w:hAnsi="宋体" w:cs="宋体"/>
                <w:lang w:val="en-US" w:eastAsia="zh-CN"/>
              </w:rPr>
              <w:t>其他</w:t>
            </w:r>
          </w:p>
        </w:tc>
        <w:tc>
          <w:tcPr>
            <w:tcW w:w="5940" w:type="dxa"/>
            <w:noWrap w:val="0"/>
            <w:vAlign w:val="center"/>
          </w:tcPr>
          <w:p>
            <w:pPr>
              <w:rPr>
                <w:rFonts w:hint="eastAsia" w:ascii="宋体" w:hAnsi="宋体" w:cs="宋体"/>
                <w:bCs/>
                <w:szCs w:val="21"/>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820" w:type="dxa"/>
            <w:gridSpan w:val="3"/>
            <w:noWrap w:val="0"/>
            <w:vAlign w:val="center"/>
          </w:tcPr>
          <w:p>
            <w:pPr>
              <w:jc w:val="left"/>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）免费保修期外售后服务要求部分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default" w:ascii="宋体" w:hAnsi="宋体" w:cs="宋体"/>
                <w:b/>
                <w:lang w:val="en-US" w:eastAsia="zh-CN"/>
              </w:rPr>
            </w:pPr>
            <w:r>
              <w:rPr>
                <w:rFonts w:hint="eastAsia" w:ascii="宋体" w:hAnsi="宋体" w:cs="宋体"/>
                <w:b/>
                <w:lang w:val="en-US" w:eastAsia="zh-CN"/>
              </w:rPr>
              <w:t>1</w:t>
            </w:r>
          </w:p>
        </w:tc>
        <w:tc>
          <w:tcPr>
            <w:tcW w:w="1620" w:type="dxa"/>
            <w:noWrap w:val="0"/>
            <w:vAlign w:val="center"/>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Cs/>
                <w:szCs w:val="21"/>
              </w:rPr>
            </w:pPr>
            <w:r>
              <w:rPr>
                <w:rFonts w:hint="eastAsia" w:ascii="宋体" w:hAnsi="宋体" w:cs="宋体"/>
                <w:bCs/>
                <w:szCs w:val="21"/>
              </w:rPr>
              <w:t>在保修期</w:t>
            </w:r>
            <w:r>
              <w:rPr>
                <w:rFonts w:hint="eastAsia" w:ascii="宋体" w:hAnsi="宋体" w:cs="宋体"/>
                <w:bCs/>
                <w:szCs w:val="21"/>
                <w:lang w:val="en-US" w:eastAsia="zh-CN"/>
              </w:rPr>
              <w:t>满后</w:t>
            </w:r>
            <w:r>
              <w:rPr>
                <w:rFonts w:hint="eastAsia" w:ascii="宋体" w:hAnsi="宋体" w:cs="宋体"/>
                <w:bCs/>
                <w:szCs w:val="21"/>
              </w:rPr>
              <w:t>，一旦发生质量问题，投标人保证在接到通知</w:t>
            </w:r>
            <w:r>
              <w:rPr>
                <w:rFonts w:hint="eastAsia" w:ascii="宋体" w:hAnsi="宋体" w:cs="宋体"/>
                <w:bCs/>
                <w:szCs w:val="21"/>
                <w:lang w:val="en-US" w:eastAsia="zh-CN"/>
              </w:rPr>
              <w:t xml:space="preserve"> ---</w:t>
            </w:r>
            <w:r>
              <w:rPr>
                <w:rFonts w:hint="eastAsia" w:ascii="宋体" w:hAnsi="宋体" w:cs="宋体"/>
                <w:bCs/>
                <w:szCs w:val="21"/>
              </w:rPr>
              <w:t>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default" w:ascii="宋体" w:hAnsi="宋体" w:cs="宋体"/>
                <w:b/>
                <w:lang w:val="en-US" w:eastAsia="zh-CN"/>
              </w:rPr>
            </w:pPr>
            <w:r>
              <w:rPr>
                <w:rFonts w:hint="eastAsia" w:ascii="宋体" w:hAnsi="宋体" w:cs="宋体"/>
                <w:b/>
                <w:lang w:val="en-US" w:eastAsia="zh-CN"/>
              </w:rPr>
              <w:t>2</w:t>
            </w:r>
          </w:p>
        </w:tc>
        <w:tc>
          <w:tcPr>
            <w:tcW w:w="1620" w:type="dxa"/>
            <w:noWrap w:val="0"/>
            <w:vAlign w:val="center"/>
          </w:tcPr>
          <w:p>
            <w:pPr>
              <w:rPr>
                <w:rFonts w:hint="eastAsia" w:ascii="宋体" w:hAnsi="宋体" w:eastAsia="宋体" w:cs="宋体"/>
                <w:kern w:val="2"/>
                <w:sz w:val="21"/>
                <w:szCs w:val="24"/>
                <w:lang w:val="en-US" w:eastAsia="zh-CN" w:bidi="ar-SA"/>
              </w:rPr>
            </w:pPr>
            <w:r>
              <w:rPr>
                <w:rFonts w:hint="eastAsia" w:ascii="宋体" w:hAnsi="宋体" w:cs="宋体"/>
                <w:lang w:val="en-US" w:eastAsia="zh-CN"/>
              </w:rPr>
              <w:t>其他</w:t>
            </w:r>
          </w:p>
        </w:tc>
        <w:tc>
          <w:tcPr>
            <w:tcW w:w="5940" w:type="dxa"/>
            <w:noWrap w:val="0"/>
            <w:vAlign w:val="center"/>
          </w:tcPr>
          <w:p>
            <w:pPr>
              <w:rPr>
                <w:rFonts w:hint="eastAsia" w:ascii="宋体" w:hAnsi="宋体" w:eastAsia="宋体" w:cs="宋体"/>
                <w:bCs/>
                <w:kern w:val="2"/>
                <w:sz w:val="21"/>
                <w:szCs w:val="21"/>
                <w:lang w:val="en-US" w:eastAsia="zh-CN" w:bidi="ar-SA"/>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三</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09A6137"/>
    <w:rsid w:val="12DD1B28"/>
    <w:rsid w:val="12FE3950"/>
    <w:rsid w:val="15B13C57"/>
    <w:rsid w:val="16B304F0"/>
    <w:rsid w:val="1A4F51DB"/>
    <w:rsid w:val="1BA51044"/>
    <w:rsid w:val="1BE978E3"/>
    <w:rsid w:val="20872C9F"/>
    <w:rsid w:val="216D7189"/>
    <w:rsid w:val="239F050C"/>
    <w:rsid w:val="257E17F7"/>
    <w:rsid w:val="275663DD"/>
    <w:rsid w:val="278E5053"/>
    <w:rsid w:val="2BF92562"/>
    <w:rsid w:val="2EDB54A0"/>
    <w:rsid w:val="33562ADE"/>
    <w:rsid w:val="33F52CFD"/>
    <w:rsid w:val="384055D4"/>
    <w:rsid w:val="39E64C50"/>
    <w:rsid w:val="425060F2"/>
    <w:rsid w:val="44D349EC"/>
    <w:rsid w:val="45847BA5"/>
    <w:rsid w:val="46410D56"/>
    <w:rsid w:val="469E203D"/>
    <w:rsid w:val="49E80350"/>
    <w:rsid w:val="4A44579E"/>
    <w:rsid w:val="4BB43D8C"/>
    <w:rsid w:val="52423785"/>
    <w:rsid w:val="56077DC5"/>
    <w:rsid w:val="5C942A50"/>
    <w:rsid w:val="5D7563F9"/>
    <w:rsid w:val="603D641A"/>
    <w:rsid w:val="60EE2C0C"/>
    <w:rsid w:val="62D3439E"/>
    <w:rsid w:val="66F45EB8"/>
    <w:rsid w:val="69782474"/>
    <w:rsid w:val="6B126E3A"/>
    <w:rsid w:val="6B97436A"/>
    <w:rsid w:val="6C11369E"/>
    <w:rsid w:val="6DC17C96"/>
    <w:rsid w:val="6F194F50"/>
    <w:rsid w:val="71FEDFB2"/>
    <w:rsid w:val="73210D6E"/>
    <w:rsid w:val="782C62A4"/>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25</Pages>
  <Words>13088</Words>
  <Characters>14350</Characters>
  <Lines>80</Lines>
  <Paragraphs>22</Paragraphs>
  <TotalTime>1</TotalTime>
  <ScaleCrop>false</ScaleCrop>
  <LinksUpToDate>false</LinksUpToDate>
  <CharactersWithSpaces>15945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2022-06-23T08:37:52Z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BB87CA5906FB4AC483E17446EA6854A3</vt:lpwstr>
  </property>
</Properties>
</file>