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r>
        <w:rPr>
          <w:rFonts w:hint="eastAsia"/>
          <w:b/>
          <w:sz w:val="44"/>
          <w:szCs w:val="44"/>
        </w:rPr>
        <w:t>深圳实验学校</w:t>
      </w:r>
    </w:p>
    <w:p>
      <w:pPr>
        <w:jc w:val="center"/>
        <w:rPr>
          <w:rFonts w:hint="eastAsia"/>
          <w:b/>
          <w:sz w:val="44"/>
          <w:szCs w:val="44"/>
        </w:rPr>
      </w:pPr>
      <w:r>
        <w:rPr>
          <w:rFonts w:hint="eastAsia"/>
          <w:b/>
          <w:sz w:val="44"/>
          <w:szCs w:val="44"/>
        </w:rPr>
        <w:t>高中部拆除重建工程立项申报项目</w:t>
      </w:r>
    </w:p>
    <w:p>
      <w:pPr>
        <w:jc w:val="center"/>
        <w:rPr>
          <w:rFonts w:hint="eastAsia" w:eastAsiaTheme="minorEastAsia"/>
          <w:lang w:val="en-US" w:eastAsia="zh-CN"/>
        </w:rPr>
      </w:pPr>
      <w:r>
        <w:rPr>
          <w:rFonts w:hint="eastAsia"/>
          <w:b/>
          <w:sz w:val="44"/>
          <w:szCs w:val="44"/>
        </w:rPr>
        <w:t>建议书编制服务</w:t>
      </w:r>
      <w:r>
        <w:rPr>
          <w:rFonts w:hint="eastAsia"/>
          <w:b/>
          <w:sz w:val="44"/>
          <w:szCs w:val="44"/>
          <w:lang w:val="en-US" w:eastAsia="zh-CN"/>
        </w:rPr>
        <w:t>招标文件</w:t>
      </w:r>
    </w:p>
    <w:p>
      <w:pPr>
        <w:pStyle w:val="2"/>
        <w:spacing w:before="156" w:beforeLines="50" w:after="156" w:afterLines="50"/>
        <w:rPr>
          <w:sz w:val="28"/>
          <w:szCs w:val="28"/>
        </w:rPr>
      </w:pPr>
      <w:bookmarkStart w:id="0" w:name="_Toc73518117"/>
      <w:bookmarkStart w:id="1" w:name="_Toc100052364"/>
      <w:bookmarkStart w:id="2" w:name="_Toc101074876"/>
      <w:bookmarkStart w:id="3" w:name="_Toc60560625"/>
      <w:bookmarkStart w:id="4" w:name="_Toc73521547"/>
      <w:bookmarkStart w:id="5" w:name="_Toc73517639"/>
      <w:bookmarkStart w:id="6" w:name="_Toc60631620"/>
      <w:bookmarkStart w:id="7" w:name="_Toc73521635"/>
      <w:r>
        <w:rPr>
          <w:rFonts w:hint="eastAsia"/>
          <w:sz w:val="28"/>
          <w:szCs w:val="28"/>
        </w:rPr>
        <w:t>一、项目概况</w:t>
      </w:r>
    </w:p>
    <w:bookmarkEnd w:id="0"/>
    <w:bookmarkEnd w:id="1"/>
    <w:bookmarkEnd w:id="2"/>
    <w:bookmarkEnd w:id="3"/>
    <w:bookmarkEnd w:id="4"/>
    <w:bookmarkEnd w:id="5"/>
    <w:bookmarkEnd w:id="6"/>
    <w:bookmarkEnd w:id="7"/>
    <w:p>
      <w:pPr>
        <w:ind w:firstLine="420" w:firstLineChars="200"/>
        <w:rPr>
          <w:rFonts w:hint="eastAsia" w:eastAsiaTheme="minorEastAsia"/>
          <w:lang w:eastAsia="zh-CN"/>
        </w:rPr>
      </w:pPr>
      <w:r>
        <w:rPr>
          <w:rFonts w:hint="eastAsia"/>
        </w:rPr>
        <w:t>深圳实验学校高中部拆除重建工程立项申报建议书编制</w:t>
      </w:r>
      <w:r>
        <w:rPr>
          <w:rFonts w:hint="eastAsia"/>
          <w:lang w:eastAsia="zh-CN"/>
        </w:rPr>
        <w:t>。</w:t>
      </w:r>
    </w:p>
    <w:p>
      <w:pPr>
        <w:ind w:firstLine="420" w:firstLineChars="200"/>
      </w:pPr>
    </w:p>
    <w:p>
      <w:pPr>
        <w:pStyle w:val="2"/>
        <w:numPr>
          <w:ilvl w:val="0"/>
          <w:numId w:val="1"/>
        </w:numPr>
        <w:spacing w:before="156" w:beforeLines="50" w:after="156" w:afterLines="50"/>
      </w:pPr>
      <w:r>
        <w:rPr>
          <w:rFonts w:hint="eastAsia"/>
          <w:sz w:val="28"/>
          <w:szCs w:val="28"/>
          <w:lang w:val="en-US" w:eastAsia="zh-CN"/>
        </w:rPr>
        <w:t>技术</w:t>
      </w:r>
      <w:r>
        <w:rPr>
          <w:rFonts w:hint="eastAsia"/>
          <w:sz w:val="28"/>
          <w:szCs w:val="28"/>
        </w:rPr>
        <w:t>需求</w:t>
      </w:r>
    </w:p>
    <w:p>
      <w:pPr>
        <w:ind w:firstLine="420" w:firstLineChars="200"/>
        <w:rPr>
          <w:rFonts w:hint="eastAsia"/>
        </w:rPr>
      </w:pPr>
      <w:r>
        <w:rPr>
          <w:rFonts w:hint="eastAsia"/>
        </w:rPr>
        <w:t>1、成果：确定终稿后提供10本项目建议书报告。</w:t>
      </w:r>
    </w:p>
    <w:p>
      <w:pPr>
        <w:ind w:firstLine="420" w:firstLineChars="200"/>
        <w:rPr>
          <w:rFonts w:hint="eastAsia"/>
        </w:rPr>
      </w:pPr>
      <w:r>
        <w:rPr>
          <w:rFonts w:hint="eastAsia"/>
        </w:rPr>
        <w:t>2、服务要求：深化咨询服务内容，为本项目前期提供全方位的咨询服务，满足学校的合理需求，全力配合好本项目相关以及后续的服务工作。</w:t>
      </w:r>
    </w:p>
    <w:p>
      <w:pPr>
        <w:ind w:firstLine="420" w:firstLineChars="200"/>
        <w:rPr>
          <w:rFonts w:hint="eastAsia"/>
        </w:rPr>
      </w:pPr>
      <w:r>
        <w:rPr>
          <w:rFonts w:hint="eastAsia"/>
        </w:rPr>
        <w:t>3、质量标准及验收要求</w:t>
      </w:r>
    </w:p>
    <w:p>
      <w:pPr>
        <w:ind w:firstLine="420" w:firstLineChars="200"/>
        <w:rPr>
          <w:rFonts w:hint="eastAsia"/>
        </w:rPr>
      </w:pPr>
      <w:r>
        <w:rPr>
          <w:rFonts w:hint="eastAsia"/>
        </w:rPr>
        <w:t>3.1、编制的项目建议书应符合国家发改委有关规范标准、要求和深度，并符合深圳市发改委、深圳市教育局和深圳市政府投资项目评审中心等编制要求。</w:t>
      </w:r>
    </w:p>
    <w:p>
      <w:pPr>
        <w:ind w:firstLine="420" w:firstLineChars="200"/>
        <w:rPr>
          <w:rFonts w:hint="eastAsia"/>
          <w:sz w:val="28"/>
          <w:szCs w:val="28"/>
          <w:lang w:val="en-US" w:eastAsia="zh-CN"/>
        </w:rPr>
      </w:pPr>
      <w:r>
        <w:rPr>
          <w:rFonts w:hint="eastAsia"/>
        </w:rPr>
        <w:t>3.2、通过深圳市政府投资项目评审中心对本项目的项目建议书的评审，并最终获得深圳市发改委的批复。</w:t>
      </w:r>
    </w:p>
    <w:p>
      <w:pPr>
        <w:pStyle w:val="2"/>
        <w:spacing w:before="156" w:beforeLines="50" w:after="156" w:afterLines="50"/>
        <w:rPr>
          <w:sz w:val="28"/>
          <w:szCs w:val="28"/>
        </w:rPr>
      </w:pPr>
      <w:r>
        <w:rPr>
          <w:rFonts w:hint="eastAsia"/>
          <w:sz w:val="28"/>
          <w:szCs w:val="28"/>
          <w:lang w:val="en-US" w:eastAsia="zh-CN"/>
        </w:rPr>
        <w:t>三</w:t>
      </w:r>
      <w:r>
        <w:rPr>
          <w:rFonts w:hint="eastAsia"/>
          <w:sz w:val="28"/>
          <w:szCs w:val="28"/>
        </w:rPr>
        <w:t>、商务需求</w:t>
      </w:r>
    </w:p>
    <w:p>
      <w:pPr>
        <w:ind w:firstLine="420" w:firstLineChars="200"/>
        <w:rPr>
          <w:rFonts w:hint="eastAsia"/>
        </w:rPr>
      </w:pPr>
      <w:r>
        <w:rPr>
          <w:rFonts w:hint="eastAsia"/>
        </w:rPr>
        <w:t>1、期限：签订合同后  60  天（日历日）内完成初稿。</w:t>
      </w:r>
    </w:p>
    <w:p>
      <w:pPr>
        <w:ind w:firstLine="420" w:firstLineChars="200"/>
        <w:rPr>
          <w:rFonts w:hint="eastAsia"/>
        </w:rPr>
      </w:pPr>
      <w:r>
        <w:rPr>
          <w:rFonts w:hint="eastAsia"/>
        </w:rPr>
        <w:t>2、付款方式</w:t>
      </w:r>
    </w:p>
    <w:p>
      <w:pPr>
        <w:ind w:firstLine="420" w:firstLineChars="200"/>
        <w:rPr>
          <w:rFonts w:hint="eastAsia"/>
        </w:rPr>
      </w:pPr>
      <w:r>
        <w:rPr>
          <w:rFonts w:hint="eastAsia"/>
        </w:rPr>
        <w:t>4.1、自合同签订之日起一个月内，甲方向乙方支付合同总额的50%；</w:t>
      </w:r>
    </w:p>
    <w:p>
      <w:pPr>
        <w:ind w:firstLine="420" w:firstLineChars="200"/>
        <w:rPr>
          <w:rFonts w:hint="eastAsia"/>
        </w:rPr>
      </w:pPr>
      <w:r>
        <w:rPr>
          <w:rFonts w:hint="eastAsia"/>
        </w:rPr>
        <w:t>4.2、乙方提交项目建议书成果，并最终获得深圳市发改委的同意批复后一个月内，甲方向乙方支付合同总额的50%。</w:t>
      </w:r>
    </w:p>
    <w:p/>
    <w:p>
      <w:pPr>
        <w:pStyle w:val="2"/>
        <w:spacing w:before="156" w:beforeLines="50" w:after="156" w:afterLines="50"/>
        <w:rPr>
          <w:rFonts w:hint="eastAsia" w:eastAsia="宋体"/>
          <w:sz w:val="28"/>
          <w:szCs w:val="28"/>
          <w:lang w:val="en-US" w:eastAsia="zh-CN"/>
        </w:rPr>
      </w:pPr>
      <w:r>
        <w:rPr>
          <w:rFonts w:hint="eastAsia"/>
          <w:sz w:val="28"/>
          <w:szCs w:val="28"/>
        </w:rPr>
        <w:t>四、</w:t>
      </w:r>
      <w:r>
        <w:rPr>
          <w:rFonts w:hint="eastAsia"/>
          <w:sz w:val="28"/>
          <w:szCs w:val="28"/>
          <w:lang w:val="en-US" w:eastAsia="zh-CN"/>
        </w:rPr>
        <w:t>评分细则</w:t>
      </w:r>
    </w:p>
    <w:p>
      <w:r>
        <w:rPr>
          <w:rFonts w:hint="eastAsia"/>
        </w:rPr>
        <w:t>综合评分法。评分标准</w:t>
      </w:r>
      <w:r>
        <w:t>如下：</w:t>
      </w:r>
    </w:p>
    <w:tbl>
      <w:tblPr>
        <w:tblStyle w:val="7"/>
        <w:tblW w:w="97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420"/>
        <w:gridCol w:w="149"/>
        <w:gridCol w:w="1505"/>
        <w:gridCol w:w="846"/>
        <w:gridCol w:w="1118"/>
        <w:gridCol w:w="5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39" w:type="dxa"/>
            <w:shd w:val="clear" w:color="auto" w:fill="auto"/>
            <w:vAlign w:val="bottom"/>
          </w:tcPr>
          <w:p>
            <w:pPr>
              <w:widowControl/>
              <w:rPr>
                <w:rFonts w:ascii="宋体" w:hAnsi="宋体" w:cs="宋体"/>
                <w:kern w:val="0"/>
                <w:szCs w:val="21"/>
              </w:rPr>
            </w:pPr>
            <w:r>
              <w:rPr>
                <w:rFonts w:hint="eastAsia" w:ascii="宋体" w:hAnsi="宋体" w:cs="宋体"/>
                <w:kern w:val="0"/>
                <w:szCs w:val="21"/>
              </w:rPr>
              <w:t>序号</w:t>
            </w:r>
          </w:p>
        </w:tc>
        <w:tc>
          <w:tcPr>
            <w:tcW w:w="4038" w:type="dxa"/>
            <w:gridSpan w:val="5"/>
            <w:shd w:val="clear" w:color="auto" w:fill="auto"/>
            <w:vAlign w:val="bottom"/>
          </w:tcPr>
          <w:p>
            <w:pPr>
              <w:widowControl/>
              <w:ind w:left="-594" w:leftChars="-283" w:right="-250" w:rightChars="-119"/>
              <w:jc w:val="center"/>
              <w:rPr>
                <w:rFonts w:ascii="宋体" w:hAnsi="宋体" w:cs="宋体"/>
                <w:kern w:val="0"/>
                <w:szCs w:val="21"/>
              </w:rPr>
            </w:pPr>
            <w:r>
              <w:rPr>
                <w:rFonts w:hint="eastAsia" w:ascii="宋体" w:hAnsi="宋体" w:cs="宋体"/>
                <w:kern w:val="0"/>
                <w:szCs w:val="21"/>
              </w:rPr>
              <w:t>评分项</w:t>
            </w:r>
          </w:p>
        </w:tc>
        <w:tc>
          <w:tcPr>
            <w:tcW w:w="5085" w:type="dxa"/>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4038" w:type="dxa"/>
            <w:gridSpan w:val="5"/>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价格部分</w:t>
            </w:r>
          </w:p>
        </w:tc>
        <w:tc>
          <w:tcPr>
            <w:tcW w:w="5085" w:type="dxa"/>
            <w:shd w:val="clear" w:color="auto" w:fill="auto"/>
            <w:vAlign w:val="bottom"/>
          </w:tcPr>
          <w:p>
            <w:pPr>
              <w:widowControl/>
              <w:jc w:val="center"/>
              <w:rPr>
                <w:rFonts w:ascii="宋体" w:hAnsi="宋体" w:cs="宋体"/>
                <w:kern w:val="0"/>
                <w:szCs w:val="21"/>
              </w:rPr>
            </w:pPr>
            <w:r>
              <w:rPr>
                <w:rFonts w:ascii="宋体" w:hAnsi="宋体" w:cs="宋体"/>
                <w:kern w:val="0"/>
                <w:szCs w:val="21"/>
              </w:rPr>
              <w:t>1</w:t>
            </w:r>
            <w:r>
              <w:rPr>
                <w:rFonts w:hint="eastAsia" w:ascii="宋体" w:hAnsi="宋体" w:cs="宋体"/>
                <w:kern w:val="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639" w:type="dxa"/>
            <w:vMerge w:val="continue"/>
            <w:vAlign w:val="center"/>
          </w:tcPr>
          <w:p>
            <w:pPr>
              <w:widowControl/>
              <w:jc w:val="left"/>
              <w:rPr>
                <w:rFonts w:ascii="宋体" w:hAnsi="宋体" w:cs="宋体"/>
                <w:kern w:val="0"/>
                <w:szCs w:val="21"/>
              </w:rPr>
            </w:pPr>
          </w:p>
        </w:tc>
        <w:tc>
          <w:tcPr>
            <w:tcW w:w="4038" w:type="dxa"/>
            <w:gridSpan w:val="5"/>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jc w:val="left"/>
              <w:rPr>
                <w:rFonts w:ascii="宋体" w:hAnsi="宋体" w:cs="宋体"/>
                <w:kern w:val="0"/>
                <w:szCs w:val="21"/>
              </w:rPr>
            </w:pPr>
            <w:r>
              <w:rPr>
                <w:rFonts w:hint="eastAsia" w:ascii="宋体" w:hAnsi="宋体" w:cs="宋体"/>
                <w:kern w:val="0"/>
                <w:szCs w:val="21"/>
              </w:rPr>
              <w:t>对招标文件做出实质性响应的所有合格投标人中采用低价优先法计算，即满足招标文件要求（通过初审）且投标价格最低的投标报价为评标基准价，其价格分为满分。其他投标人的价格分统一按照下列公式计算：投标人价格得分=（评标基准价/投标报价）×价格满分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4038" w:type="dxa"/>
            <w:gridSpan w:val="5"/>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技术部分</w:t>
            </w:r>
          </w:p>
        </w:tc>
        <w:tc>
          <w:tcPr>
            <w:tcW w:w="5085" w:type="dxa"/>
            <w:shd w:val="clear" w:color="auto" w:fill="auto"/>
            <w:vAlign w:val="bottom"/>
          </w:tcPr>
          <w:p>
            <w:pPr>
              <w:widowControl/>
              <w:jc w:val="center"/>
              <w:rPr>
                <w:rFonts w:ascii="宋体" w:hAnsi="宋体" w:cs="宋体"/>
                <w:kern w:val="0"/>
                <w:szCs w:val="21"/>
              </w:rPr>
            </w:pPr>
            <w:r>
              <w:rPr>
                <w:rFonts w:ascii="宋体" w:hAnsi="宋体" w:cs="宋体"/>
                <w:kern w:val="0"/>
                <w:szCs w:val="21"/>
              </w:rPr>
              <w:t>6</w:t>
            </w:r>
            <w:r>
              <w:rPr>
                <w:rFonts w:hint="eastAsia" w:ascii="宋体" w:hAnsi="宋体" w:cs="宋体"/>
                <w:kern w:val="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restart"/>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　</w:t>
            </w:r>
          </w:p>
        </w:tc>
        <w:tc>
          <w:tcPr>
            <w:tcW w:w="569" w:type="dxa"/>
            <w:gridSpan w:val="2"/>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序号</w:t>
            </w:r>
          </w:p>
        </w:tc>
        <w:tc>
          <w:tcPr>
            <w:tcW w:w="1505" w:type="dxa"/>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评分因素</w:t>
            </w:r>
          </w:p>
        </w:tc>
        <w:tc>
          <w:tcPr>
            <w:tcW w:w="846" w:type="dxa"/>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权重</w:t>
            </w:r>
          </w:p>
        </w:tc>
        <w:tc>
          <w:tcPr>
            <w:tcW w:w="1118" w:type="dxa"/>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评分方式</w:t>
            </w:r>
          </w:p>
        </w:tc>
        <w:tc>
          <w:tcPr>
            <w:tcW w:w="5085" w:type="dxa"/>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1505"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技术保障措施</w:t>
            </w:r>
          </w:p>
        </w:tc>
        <w:tc>
          <w:tcPr>
            <w:tcW w:w="846"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w:t>
            </w:r>
          </w:p>
        </w:tc>
        <w:tc>
          <w:tcPr>
            <w:tcW w:w="1118"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评委打分</w:t>
            </w: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考察内容：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针对本项目的需求内容，投标人需充分说明质量保障措施，包括技术实力和机构情况等保障措施。技术保障措施中必须包含以上内容，否则不得分。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b/>
                <w:bCs/>
                <w:kern w:val="0"/>
                <w:szCs w:val="21"/>
              </w:rPr>
            </w:pPr>
            <w:r>
              <w:rPr>
                <w:rFonts w:hint="eastAsia" w:ascii="宋体" w:hAnsi="宋体" w:cs="宋体"/>
                <w:b/>
                <w:bCs/>
                <w:kern w:val="0"/>
                <w:szCs w:val="21"/>
              </w:rPr>
              <w:t>评审委员会根据响应情况进行横向比较：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1、技术保障措施详细，安排合理，得</w:t>
            </w:r>
            <w:r>
              <w:rPr>
                <w:rFonts w:ascii="宋体" w:hAnsi="宋体" w:cs="宋体"/>
                <w:kern w:val="0"/>
                <w:szCs w:val="21"/>
              </w:rPr>
              <w:t>10</w:t>
            </w:r>
            <w:r>
              <w:rPr>
                <w:rFonts w:hint="eastAsia" w:ascii="宋体" w:hAnsi="宋体" w:cs="宋体"/>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2、技术保障措施一般，安排一般，得</w:t>
            </w:r>
            <w:r>
              <w:rPr>
                <w:rFonts w:ascii="宋体" w:hAnsi="宋体" w:cs="宋体"/>
                <w:kern w:val="0"/>
                <w:szCs w:val="21"/>
              </w:rPr>
              <w:t>6</w:t>
            </w:r>
            <w:r>
              <w:rPr>
                <w:rFonts w:hint="eastAsia" w:ascii="宋体" w:hAnsi="宋体" w:cs="宋体"/>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3、技术保障措施不详细，安排较差或不提供安全保障措施不得分。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1505"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实施方案</w:t>
            </w:r>
          </w:p>
        </w:tc>
        <w:tc>
          <w:tcPr>
            <w:tcW w:w="846"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30</w:t>
            </w:r>
          </w:p>
        </w:tc>
        <w:tc>
          <w:tcPr>
            <w:tcW w:w="1118"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评委打分</w:t>
            </w: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考察内容：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投标人针对本项目要求制订工作实施方案。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b/>
                <w:bCs/>
                <w:kern w:val="0"/>
                <w:szCs w:val="21"/>
              </w:rPr>
            </w:pPr>
            <w:r>
              <w:rPr>
                <w:rFonts w:hint="eastAsia" w:ascii="宋体" w:hAnsi="宋体" w:cs="宋体"/>
                <w:b/>
                <w:bCs/>
                <w:kern w:val="0"/>
                <w:szCs w:val="21"/>
              </w:rPr>
              <w:t>评审委员会根据响应情况进行横向比较：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1、实施方案内容详细，安排合理，评为优秀，得</w:t>
            </w:r>
            <w:r>
              <w:rPr>
                <w:rFonts w:ascii="宋体" w:hAnsi="宋体" w:cs="宋体"/>
                <w:kern w:val="0"/>
                <w:szCs w:val="21"/>
              </w:rPr>
              <w:t>30</w:t>
            </w:r>
            <w:r>
              <w:rPr>
                <w:rFonts w:hint="eastAsia" w:ascii="宋体" w:hAnsi="宋体" w:cs="宋体"/>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2、实施方案内容较详细，安排合理，评为良好，得2</w:t>
            </w:r>
            <w:r>
              <w:rPr>
                <w:rFonts w:ascii="宋体" w:hAnsi="宋体" w:cs="宋体"/>
                <w:kern w:val="0"/>
                <w:szCs w:val="21"/>
              </w:rPr>
              <w:t>0</w:t>
            </w:r>
            <w:r>
              <w:rPr>
                <w:rFonts w:hint="eastAsia" w:ascii="宋体" w:hAnsi="宋体" w:cs="宋体"/>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3、实施方案内容一般，安排较合理，评为中等，得15分；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kern w:val="0"/>
                <w:szCs w:val="21"/>
              </w:rPr>
            </w:pPr>
          </w:p>
        </w:tc>
        <w:tc>
          <w:tcPr>
            <w:tcW w:w="846" w:type="dxa"/>
            <w:vMerge w:val="continue"/>
            <w:vAlign w:val="center"/>
          </w:tcPr>
          <w:p>
            <w:pPr>
              <w:widowControl/>
              <w:jc w:val="left"/>
              <w:rPr>
                <w:rFonts w:ascii="宋体" w:hAnsi="宋体" w:cs="宋体"/>
                <w:kern w:val="0"/>
                <w:szCs w:val="21"/>
              </w:rPr>
            </w:pPr>
          </w:p>
        </w:tc>
        <w:tc>
          <w:tcPr>
            <w:tcW w:w="1118" w:type="dxa"/>
            <w:vMerge w:val="continue"/>
            <w:vAlign w:val="center"/>
          </w:tcPr>
          <w:p>
            <w:pPr>
              <w:widowControl/>
              <w:jc w:val="left"/>
              <w:rPr>
                <w:rFonts w:ascii="宋体" w:hAnsi="宋体" w:cs="宋体"/>
                <w:kern w:val="0"/>
                <w:szCs w:val="21"/>
              </w:rPr>
            </w:pPr>
          </w:p>
        </w:tc>
        <w:tc>
          <w:tcPr>
            <w:tcW w:w="5085" w:type="dxa"/>
            <w:shd w:val="clear" w:color="auto" w:fill="auto"/>
            <w:vAlign w:val="bottom"/>
          </w:tcPr>
          <w:p>
            <w:pPr>
              <w:widowControl/>
              <w:rPr>
                <w:rFonts w:ascii="宋体" w:hAnsi="宋体" w:cs="宋体"/>
                <w:kern w:val="0"/>
                <w:szCs w:val="21"/>
              </w:rPr>
            </w:pPr>
            <w:r>
              <w:rPr>
                <w:rFonts w:hint="eastAsia" w:ascii="宋体" w:hAnsi="宋体" w:cs="宋体"/>
                <w:kern w:val="0"/>
                <w:szCs w:val="21"/>
              </w:rPr>
              <w:t>4、实施方案内容不清晰或没有，安排不合理，评为差等，得</w:t>
            </w:r>
            <w:r>
              <w:rPr>
                <w:rFonts w:ascii="宋体" w:hAnsi="宋体" w:cs="宋体"/>
                <w:kern w:val="0"/>
                <w:szCs w:val="21"/>
              </w:rPr>
              <w:t>5</w:t>
            </w:r>
            <w:r>
              <w:rPr>
                <w:rFonts w:hint="eastAsia" w:ascii="宋体" w:hAnsi="宋体" w:cs="宋体"/>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bookmarkStart w:id="8" w:name="_GoBack" w:colFirst="2" w:colLast="5"/>
          </w:p>
        </w:tc>
        <w:tc>
          <w:tcPr>
            <w:tcW w:w="569" w:type="dxa"/>
            <w:gridSpan w:val="2"/>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w:t>
            </w:r>
          </w:p>
        </w:tc>
        <w:tc>
          <w:tcPr>
            <w:tcW w:w="1505" w:type="dxa"/>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项目团队人员</w:t>
            </w:r>
          </w:p>
        </w:tc>
        <w:tc>
          <w:tcPr>
            <w:tcW w:w="846" w:type="dxa"/>
            <w:vMerge w:val="restart"/>
            <w:shd w:val="clear" w:color="auto" w:fill="auto"/>
            <w:vAlign w:val="center"/>
          </w:tcPr>
          <w:p>
            <w:pPr>
              <w:widowControl/>
              <w:jc w:val="center"/>
              <w:rPr>
                <w:rFonts w:ascii="宋体" w:hAnsi="宋体" w:cs="宋体"/>
                <w:color w:val="auto"/>
                <w:kern w:val="0"/>
                <w:szCs w:val="21"/>
              </w:rPr>
            </w:pPr>
            <w:r>
              <w:rPr>
                <w:rFonts w:ascii="宋体" w:hAnsi="宋体" w:cs="宋体"/>
                <w:color w:val="auto"/>
                <w:kern w:val="0"/>
                <w:szCs w:val="21"/>
              </w:rPr>
              <w:t>2</w:t>
            </w:r>
            <w:r>
              <w:rPr>
                <w:rFonts w:hint="eastAsia" w:ascii="宋体" w:hAnsi="宋体" w:cs="宋体"/>
                <w:color w:val="auto"/>
                <w:kern w:val="0"/>
                <w:szCs w:val="21"/>
              </w:rPr>
              <w:t>0</w:t>
            </w:r>
          </w:p>
        </w:tc>
        <w:tc>
          <w:tcPr>
            <w:tcW w:w="1118" w:type="dxa"/>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评委打分</w:t>
            </w:r>
          </w:p>
        </w:tc>
        <w:tc>
          <w:tcPr>
            <w:tcW w:w="5085" w:type="dxa"/>
            <w:shd w:val="clear" w:color="auto" w:fill="auto"/>
            <w:vAlign w:val="bottom"/>
          </w:tcPr>
          <w:p>
            <w:pPr>
              <w:widowControl/>
              <w:rPr>
                <w:rFonts w:ascii="宋体" w:hAnsi="宋体" w:cs="宋体"/>
                <w:color w:val="auto"/>
                <w:kern w:val="0"/>
                <w:szCs w:val="21"/>
              </w:rPr>
            </w:pPr>
            <w:r>
              <w:rPr>
                <w:rFonts w:hint="eastAsia" w:ascii="宋体" w:hAnsi="宋体" w:cs="宋体"/>
                <w:color w:val="auto"/>
                <w:kern w:val="0"/>
                <w:szCs w:val="21"/>
              </w:rPr>
              <w:t>考察内容：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rPr>
                <w:rFonts w:ascii="宋体" w:hAnsi="宋体" w:cs="宋体"/>
                <w:color w:val="auto"/>
                <w:kern w:val="0"/>
                <w:szCs w:val="21"/>
              </w:rPr>
            </w:pPr>
            <w:r>
              <w:rPr>
                <w:rFonts w:hint="eastAsia" w:ascii="宋体" w:hAnsi="宋体" w:cs="宋体"/>
                <w:color w:val="auto"/>
                <w:kern w:val="0"/>
                <w:szCs w:val="21"/>
              </w:rPr>
              <w:t>投标人针对本项目所配备的人员情况，包括团队人数，负责人、团队成员的级别、职称等情况。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rPr>
                <w:rFonts w:ascii="宋体" w:hAnsi="宋体" w:cs="宋体"/>
                <w:b/>
                <w:bCs/>
                <w:color w:val="auto"/>
                <w:kern w:val="0"/>
                <w:szCs w:val="21"/>
              </w:rPr>
            </w:pPr>
            <w:r>
              <w:rPr>
                <w:rFonts w:hint="eastAsia" w:ascii="宋体" w:hAnsi="宋体" w:cs="宋体"/>
                <w:b/>
                <w:bCs/>
                <w:color w:val="auto"/>
                <w:kern w:val="0"/>
                <w:szCs w:val="21"/>
              </w:rPr>
              <w:t>评审委员会根据响应情况进行横向比较：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rPr>
                <w:rFonts w:ascii="宋体" w:hAnsi="宋体" w:cs="宋体"/>
                <w:color w:val="auto"/>
                <w:kern w:val="0"/>
                <w:szCs w:val="21"/>
              </w:rPr>
            </w:pPr>
            <w:r>
              <w:rPr>
                <w:rFonts w:hint="eastAsia" w:ascii="宋体" w:hAnsi="宋体" w:cs="宋体"/>
                <w:color w:val="auto"/>
                <w:kern w:val="0"/>
                <w:szCs w:val="21"/>
              </w:rPr>
              <w:t>1、人员配备很好，安排合理，评为优秀，得</w:t>
            </w:r>
            <w:r>
              <w:rPr>
                <w:rFonts w:ascii="宋体" w:hAnsi="宋体" w:cs="宋体"/>
                <w:color w:val="auto"/>
                <w:kern w:val="0"/>
                <w:szCs w:val="21"/>
              </w:rPr>
              <w:t>20</w:t>
            </w:r>
            <w:r>
              <w:rPr>
                <w:rFonts w:hint="eastAsia" w:ascii="宋体" w:hAnsi="宋体" w:cs="宋体"/>
                <w:color w:val="auto"/>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rPr>
                <w:rFonts w:ascii="宋体" w:hAnsi="宋体" w:cs="宋体"/>
                <w:color w:val="auto"/>
                <w:kern w:val="0"/>
                <w:szCs w:val="21"/>
              </w:rPr>
            </w:pPr>
            <w:r>
              <w:rPr>
                <w:rFonts w:hint="eastAsia" w:ascii="宋体" w:hAnsi="宋体" w:cs="宋体"/>
                <w:color w:val="auto"/>
                <w:kern w:val="0"/>
                <w:szCs w:val="21"/>
              </w:rPr>
              <w:t>2、人员配备较好，安排合理，评为良好，得</w:t>
            </w:r>
            <w:r>
              <w:rPr>
                <w:rFonts w:ascii="宋体" w:hAnsi="宋体" w:cs="宋体"/>
                <w:color w:val="auto"/>
                <w:kern w:val="0"/>
                <w:szCs w:val="21"/>
              </w:rPr>
              <w:t>12</w:t>
            </w:r>
            <w:r>
              <w:rPr>
                <w:rFonts w:hint="eastAsia" w:ascii="宋体" w:hAnsi="宋体" w:cs="宋体"/>
                <w:color w:val="auto"/>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569" w:type="dxa"/>
            <w:gridSpan w:val="2"/>
            <w:vMerge w:val="continue"/>
            <w:vAlign w:val="center"/>
          </w:tcPr>
          <w:p>
            <w:pPr>
              <w:widowControl/>
              <w:jc w:val="left"/>
              <w:rPr>
                <w:rFonts w:ascii="宋体" w:hAnsi="宋体" w:cs="宋体"/>
                <w:kern w:val="0"/>
                <w:szCs w:val="21"/>
              </w:rPr>
            </w:pPr>
          </w:p>
        </w:tc>
        <w:tc>
          <w:tcPr>
            <w:tcW w:w="1505" w:type="dxa"/>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rPr>
                <w:rFonts w:ascii="宋体" w:hAnsi="宋体" w:cs="宋体"/>
                <w:color w:val="auto"/>
                <w:kern w:val="0"/>
                <w:szCs w:val="21"/>
              </w:rPr>
            </w:pPr>
            <w:r>
              <w:rPr>
                <w:rFonts w:hint="eastAsia" w:ascii="宋体" w:hAnsi="宋体" w:cs="宋体"/>
                <w:color w:val="auto"/>
                <w:kern w:val="0"/>
                <w:szCs w:val="21"/>
              </w:rPr>
              <w:t>3、人员配备不足，安排不合理，评为差，得</w:t>
            </w:r>
            <w:r>
              <w:rPr>
                <w:rFonts w:ascii="宋体" w:hAnsi="宋体" w:cs="宋体"/>
                <w:color w:val="auto"/>
                <w:kern w:val="0"/>
                <w:szCs w:val="21"/>
              </w:rPr>
              <w:t>6</w:t>
            </w:r>
            <w:r>
              <w:rPr>
                <w:rFonts w:hint="eastAsia" w:ascii="宋体" w:hAnsi="宋体" w:cs="宋体"/>
                <w:color w:val="auto"/>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3</w:t>
            </w:r>
          </w:p>
        </w:tc>
        <w:tc>
          <w:tcPr>
            <w:tcW w:w="4038" w:type="dxa"/>
            <w:gridSpan w:val="5"/>
            <w:shd w:val="clear" w:color="auto" w:fill="auto"/>
            <w:vAlign w:val="bottom"/>
          </w:tcPr>
          <w:p>
            <w:pPr>
              <w:widowControl/>
              <w:jc w:val="center"/>
              <w:rPr>
                <w:rFonts w:ascii="宋体" w:hAnsi="宋体" w:cs="宋体"/>
                <w:color w:val="auto"/>
                <w:kern w:val="0"/>
                <w:szCs w:val="21"/>
              </w:rPr>
            </w:pPr>
            <w:r>
              <w:rPr>
                <w:rFonts w:hint="eastAsia" w:ascii="宋体" w:hAnsi="宋体" w:cs="宋体"/>
                <w:color w:val="auto"/>
                <w:kern w:val="0"/>
                <w:szCs w:val="21"/>
              </w:rPr>
              <w:t>商务需求</w:t>
            </w:r>
          </w:p>
        </w:tc>
        <w:tc>
          <w:tcPr>
            <w:tcW w:w="5085" w:type="dxa"/>
            <w:shd w:val="clear" w:color="auto" w:fill="auto"/>
            <w:vAlign w:val="bottom"/>
          </w:tcPr>
          <w:p>
            <w:pPr>
              <w:widowControl/>
              <w:jc w:val="center"/>
              <w:rPr>
                <w:rFonts w:ascii="宋体" w:hAnsi="宋体" w:cs="宋体"/>
                <w:color w:val="auto"/>
                <w:kern w:val="0"/>
                <w:szCs w:val="21"/>
              </w:rPr>
            </w:pPr>
            <w:r>
              <w:rPr>
                <w:rFonts w:hint="eastAsia" w:ascii="宋体" w:hAnsi="宋体" w:cs="宋体"/>
                <w:color w:val="auto"/>
                <w:kern w:val="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restart"/>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　</w:t>
            </w:r>
          </w:p>
        </w:tc>
        <w:tc>
          <w:tcPr>
            <w:tcW w:w="420" w:type="dxa"/>
            <w:shd w:val="clear" w:color="auto" w:fill="auto"/>
            <w:vAlign w:val="bottom"/>
          </w:tcPr>
          <w:p>
            <w:pPr>
              <w:widowControl/>
              <w:jc w:val="center"/>
              <w:rPr>
                <w:rFonts w:ascii="宋体" w:hAnsi="宋体" w:cs="宋体"/>
                <w:kern w:val="0"/>
                <w:szCs w:val="21"/>
              </w:rPr>
            </w:pPr>
            <w:r>
              <w:rPr>
                <w:rFonts w:hint="eastAsia" w:ascii="宋体" w:hAnsi="宋体" w:cs="宋体"/>
                <w:kern w:val="0"/>
                <w:szCs w:val="21"/>
              </w:rPr>
              <w:t>序号</w:t>
            </w:r>
          </w:p>
        </w:tc>
        <w:tc>
          <w:tcPr>
            <w:tcW w:w="1654" w:type="dxa"/>
            <w:gridSpan w:val="2"/>
            <w:shd w:val="clear" w:color="auto" w:fill="auto"/>
            <w:vAlign w:val="bottom"/>
          </w:tcPr>
          <w:p>
            <w:pPr>
              <w:widowControl/>
              <w:jc w:val="center"/>
              <w:rPr>
                <w:rFonts w:ascii="宋体" w:hAnsi="宋体" w:cs="宋体"/>
                <w:color w:val="auto"/>
                <w:kern w:val="0"/>
                <w:szCs w:val="21"/>
              </w:rPr>
            </w:pPr>
            <w:r>
              <w:rPr>
                <w:rFonts w:hint="eastAsia" w:ascii="宋体" w:hAnsi="宋体" w:cs="宋体"/>
                <w:color w:val="auto"/>
                <w:kern w:val="0"/>
                <w:szCs w:val="21"/>
              </w:rPr>
              <w:t>评分因素</w:t>
            </w:r>
          </w:p>
        </w:tc>
        <w:tc>
          <w:tcPr>
            <w:tcW w:w="846" w:type="dxa"/>
            <w:shd w:val="clear" w:color="auto" w:fill="auto"/>
            <w:vAlign w:val="bottom"/>
          </w:tcPr>
          <w:p>
            <w:pPr>
              <w:widowControl/>
              <w:jc w:val="center"/>
              <w:rPr>
                <w:rFonts w:ascii="宋体" w:hAnsi="宋体" w:cs="宋体"/>
                <w:color w:val="auto"/>
                <w:kern w:val="0"/>
                <w:szCs w:val="21"/>
              </w:rPr>
            </w:pPr>
            <w:r>
              <w:rPr>
                <w:rFonts w:hint="eastAsia" w:ascii="宋体" w:hAnsi="宋体" w:cs="宋体"/>
                <w:color w:val="auto"/>
                <w:kern w:val="0"/>
                <w:szCs w:val="21"/>
              </w:rPr>
              <w:t>权重</w:t>
            </w:r>
          </w:p>
        </w:tc>
        <w:tc>
          <w:tcPr>
            <w:tcW w:w="1118" w:type="dxa"/>
            <w:shd w:val="clear" w:color="auto" w:fill="auto"/>
            <w:vAlign w:val="bottom"/>
          </w:tcPr>
          <w:p>
            <w:pPr>
              <w:widowControl/>
              <w:jc w:val="center"/>
              <w:rPr>
                <w:rFonts w:ascii="宋体" w:hAnsi="宋体" w:cs="宋体"/>
                <w:color w:val="auto"/>
                <w:kern w:val="0"/>
                <w:szCs w:val="21"/>
              </w:rPr>
            </w:pPr>
            <w:r>
              <w:rPr>
                <w:rFonts w:hint="eastAsia" w:ascii="宋体" w:hAnsi="宋体" w:cs="宋体"/>
                <w:color w:val="auto"/>
                <w:kern w:val="0"/>
                <w:szCs w:val="21"/>
              </w:rPr>
              <w:t>评分方式</w:t>
            </w:r>
          </w:p>
        </w:tc>
        <w:tc>
          <w:tcPr>
            <w:tcW w:w="5085" w:type="dxa"/>
            <w:shd w:val="clear" w:color="auto" w:fill="auto"/>
            <w:vAlign w:val="bottom"/>
          </w:tcPr>
          <w:p>
            <w:pPr>
              <w:widowControl/>
              <w:jc w:val="center"/>
              <w:rPr>
                <w:rFonts w:ascii="宋体" w:hAnsi="宋体" w:cs="宋体"/>
                <w:color w:val="auto"/>
                <w:kern w:val="0"/>
                <w:szCs w:val="21"/>
              </w:rPr>
            </w:pPr>
            <w:r>
              <w:rPr>
                <w:rFonts w:hint="eastAsia" w:ascii="宋体" w:hAnsi="宋体" w:cs="宋体"/>
                <w:color w:val="auto"/>
                <w:kern w:val="0"/>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420" w:type="dxa"/>
            <w:vMerge w:val="restart"/>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1</w:t>
            </w:r>
          </w:p>
        </w:tc>
        <w:tc>
          <w:tcPr>
            <w:tcW w:w="1654" w:type="dxa"/>
            <w:gridSpan w:val="2"/>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同类业绩</w:t>
            </w:r>
          </w:p>
        </w:tc>
        <w:tc>
          <w:tcPr>
            <w:tcW w:w="846" w:type="dxa"/>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1</w:t>
            </w:r>
            <w:r>
              <w:rPr>
                <w:rFonts w:ascii="宋体" w:hAnsi="宋体" w:cs="宋体"/>
                <w:color w:val="auto"/>
                <w:kern w:val="0"/>
                <w:szCs w:val="21"/>
              </w:rPr>
              <w:t>5</w:t>
            </w:r>
          </w:p>
        </w:tc>
        <w:tc>
          <w:tcPr>
            <w:tcW w:w="1118" w:type="dxa"/>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评委打分</w:t>
            </w:r>
          </w:p>
        </w:tc>
        <w:tc>
          <w:tcPr>
            <w:tcW w:w="5085" w:type="dxa"/>
            <w:shd w:val="clear" w:color="auto" w:fill="auto"/>
            <w:vAlign w:val="bottom"/>
          </w:tcPr>
          <w:p>
            <w:pPr>
              <w:widowControl/>
              <w:jc w:val="left"/>
              <w:rPr>
                <w:rFonts w:ascii="宋体" w:hAnsi="宋体" w:cs="宋体"/>
                <w:color w:val="auto"/>
                <w:kern w:val="0"/>
                <w:szCs w:val="21"/>
              </w:rPr>
            </w:pPr>
            <w:r>
              <w:rPr>
                <w:rFonts w:hint="eastAsia" w:ascii="宋体" w:hAnsi="宋体" w:cs="宋体"/>
                <w:color w:val="auto"/>
                <w:kern w:val="0"/>
                <w:szCs w:val="21"/>
              </w:rPr>
              <w:t>考察内容：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39" w:type="dxa"/>
            <w:vMerge w:val="continue"/>
            <w:vAlign w:val="center"/>
          </w:tcPr>
          <w:p>
            <w:pPr>
              <w:widowControl/>
              <w:jc w:val="left"/>
              <w:rPr>
                <w:rFonts w:ascii="宋体" w:hAnsi="宋体" w:cs="宋体"/>
                <w:kern w:val="0"/>
                <w:szCs w:val="21"/>
              </w:rPr>
            </w:pPr>
          </w:p>
        </w:tc>
        <w:tc>
          <w:tcPr>
            <w:tcW w:w="420" w:type="dxa"/>
            <w:vMerge w:val="continue"/>
            <w:vAlign w:val="center"/>
          </w:tcPr>
          <w:p>
            <w:pPr>
              <w:widowControl/>
              <w:jc w:val="left"/>
              <w:rPr>
                <w:rFonts w:ascii="宋体" w:hAnsi="宋体" w:cs="宋体"/>
                <w:kern w:val="0"/>
                <w:szCs w:val="21"/>
              </w:rPr>
            </w:pPr>
          </w:p>
        </w:tc>
        <w:tc>
          <w:tcPr>
            <w:tcW w:w="1654" w:type="dxa"/>
            <w:gridSpan w:val="2"/>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jc w:val="left"/>
              <w:rPr>
                <w:rFonts w:ascii="宋体" w:hAnsi="宋体" w:cs="宋体"/>
                <w:color w:val="auto"/>
                <w:kern w:val="0"/>
                <w:szCs w:val="21"/>
              </w:rPr>
            </w:pPr>
            <w:r>
              <w:rPr>
                <w:rFonts w:hint="eastAsia" w:ascii="宋体" w:hAnsi="宋体" w:cs="宋体"/>
                <w:color w:val="auto"/>
                <w:kern w:val="0"/>
                <w:szCs w:val="21"/>
              </w:rPr>
              <w:t>2019年1月至今编制学校同类项目建议书的业绩案例。投标人需在投标文件中提供每个项目的合同关键页或中标通知书，每提供1个案例得</w:t>
            </w:r>
            <w:r>
              <w:rPr>
                <w:rFonts w:ascii="宋体" w:hAnsi="宋体" w:cs="宋体"/>
                <w:color w:val="auto"/>
                <w:kern w:val="0"/>
                <w:szCs w:val="21"/>
              </w:rPr>
              <w:t>1.5</w:t>
            </w:r>
            <w:r>
              <w:rPr>
                <w:rFonts w:hint="eastAsia" w:ascii="宋体" w:hAnsi="宋体" w:cs="宋体"/>
                <w:color w:val="auto"/>
                <w:kern w:val="0"/>
                <w:szCs w:val="21"/>
              </w:rPr>
              <w:t>分，最高得1</w:t>
            </w:r>
            <w:r>
              <w:rPr>
                <w:rFonts w:ascii="宋体" w:hAnsi="宋体" w:cs="宋体"/>
                <w:color w:val="auto"/>
                <w:kern w:val="0"/>
                <w:szCs w:val="21"/>
              </w:rPr>
              <w:t>5</w:t>
            </w:r>
            <w:r>
              <w:rPr>
                <w:rFonts w:hint="eastAsia" w:ascii="宋体" w:hAnsi="宋体" w:cs="宋体"/>
                <w:color w:val="auto"/>
                <w:kern w:val="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39" w:type="dxa"/>
            <w:vMerge w:val="continue"/>
            <w:vAlign w:val="center"/>
          </w:tcPr>
          <w:p>
            <w:pPr>
              <w:widowControl/>
              <w:jc w:val="left"/>
              <w:rPr>
                <w:rFonts w:ascii="宋体" w:hAnsi="宋体" w:cs="宋体"/>
                <w:kern w:val="0"/>
                <w:szCs w:val="21"/>
              </w:rPr>
            </w:pPr>
          </w:p>
        </w:tc>
        <w:tc>
          <w:tcPr>
            <w:tcW w:w="420" w:type="dxa"/>
            <w:vMerge w:val="restart"/>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1654" w:type="dxa"/>
            <w:gridSpan w:val="2"/>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公司实力</w:t>
            </w:r>
          </w:p>
        </w:tc>
        <w:tc>
          <w:tcPr>
            <w:tcW w:w="846" w:type="dxa"/>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15</w:t>
            </w:r>
          </w:p>
        </w:tc>
        <w:tc>
          <w:tcPr>
            <w:tcW w:w="1118" w:type="dxa"/>
            <w:vMerge w:val="restart"/>
            <w:shd w:val="clear" w:color="auto" w:fill="auto"/>
            <w:vAlign w:val="center"/>
          </w:tcPr>
          <w:p>
            <w:pPr>
              <w:widowControl/>
              <w:jc w:val="center"/>
              <w:rPr>
                <w:rFonts w:ascii="宋体" w:hAnsi="宋体" w:cs="宋体"/>
                <w:color w:val="auto"/>
                <w:kern w:val="0"/>
                <w:szCs w:val="21"/>
              </w:rPr>
            </w:pPr>
            <w:r>
              <w:rPr>
                <w:rFonts w:hint="eastAsia" w:ascii="宋体" w:hAnsi="宋体" w:cs="宋体"/>
                <w:color w:val="auto"/>
                <w:kern w:val="0"/>
                <w:szCs w:val="21"/>
              </w:rPr>
              <w:t>评委打分</w:t>
            </w:r>
          </w:p>
        </w:tc>
        <w:tc>
          <w:tcPr>
            <w:tcW w:w="5085" w:type="dxa"/>
            <w:shd w:val="clear" w:color="auto" w:fill="auto"/>
            <w:vAlign w:val="bottom"/>
          </w:tcPr>
          <w:p>
            <w:pPr>
              <w:widowControl/>
              <w:jc w:val="left"/>
              <w:rPr>
                <w:rFonts w:ascii="宋体" w:hAnsi="宋体" w:cs="宋体"/>
                <w:color w:val="auto"/>
                <w:kern w:val="0"/>
                <w:szCs w:val="21"/>
              </w:rPr>
            </w:pPr>
            <w:r>
              <w:rPr>
                <w:rFonts w:hint="eastAsia" w:ascii="宋体" w:hAnsi="宋体" w:cs="宋体"/>
                <w:color w:val="auto"/>
                <w:kern w:val="0"/>
                <w:szCs w:val="21"/>
              </w:rPr>
              <w:t>2017年以来获得工商行政主管部门的授予“守合同重信用”单位荣誉称号的，其中一年获得的得1分，最高得5分；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420" w:type="dxa"/>
            <w:vMerge w:val="continue"/>
            <w:vAlign w:val="center"/>
          </w:tcPr>
          <w:p>
            <w:pPr>
              <w:widowControl/>
              <w:jc w:val="left"/>
              <w:rPr>
                <w:rFonts w:ascii="宋体" w:hAnsi="宋体" w:cs="宋体"/>
                <w:kern w:val="0"/>
                <w:szCs w:val="21"/>
              </w:rPr>
            </w:pPr>
          </w:p>
        </w:tc>
        <w:tc>
          <w:tcPr>
            <w:tcW w:w="1654" w:type="dxa"/>
            <w:gridSpan w:val="2"/>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rPr>
                <w:rFonts w:ascii="宋体" w:hAnsi="宋体" w:cs="宋体"/>
                <w:color w:val="auto"/>
                <w:kern w:val="0"/>
                <w:szCs w:val="21"/>
              </w:rPr>
            </w:pPr>
            <w:r>
              <w:rPr>
                <w:rFonts w:hint="eastAsia" w:ascii="宋体" w:hAnsi="宋体" w:cs="宋体"/>
                <w:color w:val="auto"/>
                <w:kern w:val="0"/>
                <w:szCs w:val="21"/>
              </w:rPr>
              <w:t>具有甲级工程咨询资质得5分,乙级工程咨询资质得2分；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9" w:type="dxa"/>
            <w:vMerge w:val="continue"/>
            <w:vAlign w:val="center"/>
          </w:tcPr>
          <w:p>
            <w:pPr>
              <w:widowControl/>
              <w:jc w:val="left"/>
              <w:rPr>
                <w:rFonts w:ascii="宋体" w:hAnsi="宋体" w:cs="宋体"/>
                <w:kern w:val="0"/>
                <w:szCs w:val="21"/>
              </w:rPr>
            </w:pPr>
          </w:p>
        </w:tc>
        <w:tc>
          <w:tcPr>
            <w:tcW w:w="420" w:type="dxa"/>
            <w:vMerge w:val="continue"/>
            <w:vAlign w:val="center"/>
          </w:tcPr>
          <w:p>
            <w:pPr>
              <w:widowControl/>
              <w:jc w:val="left"/>
              <w:rPr>
                <w:rFonts w:ascii="宋体" w:hAnsi="宋体" w:cs="宋体"/>
                <w:kern w:val="0"/>
                <w:szCs w:val="21"/>
              </w:rPr>
            </w:pPr>
          </w:p>
        </w:tc>
        <w:tc>
          <w:tcPr>
            <w:tcW w:w="1654" w:type="dxa"/>
            <w:gridSpan w:val="2"/>
            <w:vMerge w:val="continue"/>
            <w:vAlign w:val="center"/>
          </w:tcPr>
          <w:p>
            <w:pPr>
              <w:widowControl/>
              <w:jc w:val="left"/>
              <w:rPr>
                <w:rFonts w:ascii="宋体" w:hAnsi="宋体" w:cs="宋体"/>
                <w:color w:val="auto"/>
                <w:kern w:val="0"/>
                <w:szCs w:val="21"/>
              </w:rPr>
            </w:pPr>
          </w:p>
        </w:tc>
        <w:tc>
          <w:tcPr>
            <w:tcW w:w="846" w:type="dxa"/>
            <w:vMerge w:val="continue"/>
            <w:vAlign w:val="center"/>
          </w:tcPr>
          <w:p>
            <w:pPr>
              <w:widowControl/>
              <w:jc w:val="left"/>
              <w:rPr>
                <w:rFonts w:ascii="宋体" w:hAnsi="宋体" w:cs="宋体"/>
                <w:color w:val="auto"/>
                <w:kern w:val="0"/>
                <w:szCs w:val="21"/>
              </w:rPr>
            </w:pPr>
          </w:p>
        </w:tc>
        <w:tc>
          <w:tcPr>
            <w:tcW w:w="1118" w:type="dxa"/>
            <w:vMerge w:val="continue"/>
            <w:vAlign w:val="center"/>
          </w:tcPr>
          <w:p>
            <w:pPr>
              <w:widowControl/>
              <w:jc w:val="left"/>
              <w:rPr>
                <w:rFonts w:ascii="宋体" w:hAnsi="宋体" w:cs="宋体"/>
                <w:color w:val="auto"/>
                <w:kern w:val="0"/>
                <w:szCs w:val="21"/>
              </w:rPr>
            </w:pPr>
          </w:p>
        </w:tc>
        <w:tc>
          <w:tcPr>
            <w:tcW w:w="5085" w:type="dxa"/>
            <w:shd w:val="clear" w:color="auto" w:fill="auto"/>
            <w:vAlign w:val="bottom"/>
          </w:tcPr>
          <w:p>
            <w:pPr>
              <w:widowControl/>
              <w:rPr>
                <w:rFonts w:ascii="宋体" w:hAnsi="宋体" w:cs="宋体"/>
                <w:color w:val="auto"/>
                <w:kern w:val="0"/>
                <w:szCs w:val="21"/>
              </w:rPr>
            </w:pPr>
            <w:r>
              <w:rPr>
                <w:rFonts w:hint="eastAsia" w:ascii="宋体" w:hAnsi="宋体" w:cs="宋体"/>
                <w:color w:val="auto"/>
                <w:kern w:val="0"/>
                <w:szCs w:val="21"/>
              </w:rPr>
              <w:t>投标人2017年以来获得中国工程咨询协会颁发的奖项，得5分。</w:t>
            </w:r>
          </w:p>
        </w:tc>
      </w:tr>
      <w:bookmarkEnd w:id="8"/>
    </w:tbl>
    <w:p/>
    <w:p>
      <w:pPr>
        <w:pStyle w:val="2"/>
        <w:spacing w:before="156" w:beforeLines="50" w:after="156" w:afterLines="50"/>
        <w:rPr>
          <w:sz w:val="28"/>
          <w:szCs w:val="28"/>
        </w:rPr>
      </w:pPr>
      <w:r>
        <w:rPr>
          <w:rFonts w:hint="eastAsia"/>
          <w:sz w:val="28"/>
          <w:szCs w:val="28"/>
        </w:rPr>
        <w:t>五、响应</w:t>
      </w:r>
      <w:r>
        <w:rPr>
          <w:sz w:val="28"/>
          <w:szCs w:val="28"/>
        </w:rPr>
        <w:t>文件</w:t>
      </w:r>
      <w:r>
        <w:rPr>
          <w:rFonts w:hint="eastAsia"/>
          <w:sz w:val="28"/>
          <w:szCs w:val="28"/>
        </w:rPr>
        <w:t>格式</w:t>
      </w:r>
    </w:p>
    <w:p/>
    <w:p>
      <w:pPr>
        <w:ind w:firstLine="420" w:firstLineChars="200"/>
      </w:pPr>
      <w:r>
        <w:rPr>
          <w:rFonts w:hint="eastAsia"/>
        </w:rPr>
        <w:t>（一）按评审因素</w:t>
      </w:r>
      <w:r>
        <w:t>组织材料</w:t>
      </w:r>
      <w:r>
        <w:rPr>
          <w:rFonts w:hint="eastAsia"/>
        </w:rPr>
        <w:t>，格式</w:t>
      </w:r>
      <w:r>
        <w:t>自定</w:t>
      </w:r>
      <w:r>
        <w:rPr>
          <w:rFonts w:hint="eastAsia"/>
        </w:rPr>
        <w:t>。</w:t>
      </w:r>
      <w:r>
        <w:t>客观</w:t>
      </w:r>
      <w:r>
        <w:rPr>
          <w:rFonts w:hint="eastAsia"/>
        </w:rPr>
        <w:t>因素</w:t>
      </w:r>
      <w:r>
        <w:t>需提供</w:t>
      </w:r>
      <w:r>
        <w:rPr>
          <w:rFonts w:hint="eastAsia"/>
        </w:rPr>
        <w:t>证书扫描件</w:t>
      </w:r>
      <w:r>
        <w:t>等</w:t>
      </w:r>
      <w:r>
        <w:rPr>
          <w:rFonts w:hint="eastAsia"/>
        </w:rPr>
        <w:t>佐证材料。</w:t>
      </w:r>
    </w:p>
    <w:p>
      <w:pPr>
        <w:ind w:firstLine="420" w:firstLineChars="200"/>
      </w:pPr>
      <w:r>
        <w:rPr>
          <w:rFonts w:hint="eastAsia"/>
        </w:rPr>
        <w:t>（二）供应商</w:t>
      </w:r>
      <w:r>
        <w:t>认为需补充的材料，格式自定。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91967B"/>
    <w:multiLevelType w:val="singleLevel"/>
    <w:tmpl w:val="D89196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zZWZiNGMxZGUxZTA3NzQzMTNhNzk4NjljNmFjZjcifQ=="/>
  </w:docVars>
  <w:rsids>
    <w:rsidRoot w:val="00130134"/>
    <w:rsid w:val="00001477"/>
    <w:rsid w:val="000759F2"/>
    <w:rsid w:val="000B11B5"/>
    <w:rsid w:val="00130134"/>
    <w:rsid w:val="001D784E"/>
    <w:rsid w:val="00280BD7"/>
    <w:rsid w:val="002A1C9A"/>
    <w:rsid w:val="002A38E9"/>
    <w:rsid w:val="002A47FF"/>
    <w:rsid w:val="003276FC"/>
    <w:rsid w:val="00332D1A"/>
    <w:rsid w:val="00347603"/>
    <w:rsid w:val="00406BFD"/>
    <w:rsid w:val="00485022"/>
    <w:rsid w:val="005E7BB6"/>
    <w:rsid w:val="00620BF4"/>
    <w:rsid w:val="00725C62"/>
    <w:rsid w:val="0076039E"/>
    <w:rsid w:val="007626D0"/>
    <w:rsid w:val="00787100"/>
    <w:rsid w:val="007A202A"/>
    <w:rsid w:val="00893FCD"/>
    <w:rsid w:val="008C4D65"/>
    <w:rsid w:val="008E2917"/>
    <w:rsid w:val="00905B8B"/>
    <w:rsid w:val="00916380"/>
    <w:rsid w:val="00996973"/>
    <w:rsid w:val="009C18D1"/>
    <w:rsid w:val="009F5ED8"/>
    <w:rsid w:val="00AE3743"/>
    <w:rsid w:val="00C17D8C"/>
    <w:rsid w:val="00C849B8"/>
    <w:rsid w:val="00D358CF"/>
    <w:rsid w:val="00F05D9F"/>
    <w:rsid w:val="00FF5189"/>
    <w:rsid w:val="101707B3"/>
    <w:rsid w:val="40114790"/>
    <w:rsid w:val="71475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4"/>
    <w:link w:val="11"/>
    <w:qFormat/>
    <w:uiPriority w:val="0"/>
    <w:pPr>
      <w:adjustRightInd w:val="0"/>
      <w:spacing w:line="240" w:lineRule="auto"/>
      <w:jc w:val="center"/>
      <w:textAlignment w:val="baseline"/>
      <w:outlineLvl w:val="1"/>
    </w:pPr>
    <w:rPr>
      <w:rFonts w:ascii="宋体" w:hAnsi="宋体" w:eastAsia="宋体" w:cs="Times New Roman"/>
      <w:kern w:val="0"/>
      <w:sz w:val="24"/>
      <w:szCs w:val="20"/>
    </w:rPr>
  </w:style>
  <w:style w:type="paragraph" w:styleId="3">
    <w:name w:val="heading 3"/>
    <w:basedOn w:val="1"/>
    <w:next w:val="1"/>
    <w:link w:val="13"/>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14"/>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character" w:customStyle="1" w:styleId="11">
    <w:name w:val="标题 2 Char"/>
    <w:basedOn w:val="8"/>
    <w:link w:val="2"/>
    <w:qFormat/>
    <w:uiPriority w:val="0"/>
    <w:rPr>
      <w:rFonts w:ascii="宋体" w:hAnsi="宋体" w:eastAsia="宋体" w:cs="Times New Roman"/>
      <w:b/>
      <w:bCs/>
      <w:kern w:val="0"/>
      <w:sz w:val="24"/>
      <w:szCs w:val="20"/>
    </w:rPr>
  </w:style>
  <w:style w:type="character" w:customStyle="1" w:styleId="12">
    <w:name w:val="NormalCharacter"/>
    <w:qFormat/>
    <w:uiPriority w:val="0"/>
    <w:rPr>
      <w:rFonts w:ascii="Calibri" w:hAnsi="Calibri" w:eastAsia="宋体" w:cs="Times New Roman"/>
      <w:kern w:val="2"/>
      <w:sz w:val="21"/>
      <w:szCs w:val="24"/>
      <w:lang w:val="en-US" w:eastAsia="zh-CN" w:bidi="ar-SA"/>
    </w:rPr>
  </w:style>
  <w:style w:type="character" w:customStyle="1" w:styleId="13">
    <w:name w:val="标题 3 Char"/>
    <w:basedOn w:val="8"/>
    <w:link w:val="3"/>
    <w:semiHidden/>
    <w:uiPriority w:val="9"/>
    <w:rPr>
      <w:b/>
      <w:bCs/>
      <w:sz w:val="32"/>
      <w:szCs w:val="32"/>
    </w:rPr>
  </w:style>
  <w:style w:type="character" w:customStyle="1" w:styleId="14">
    <w:name w:val="标题 4 Char"/>
    <w:basedOn w:val="8"/>
    <w:link w:val="4"/>
    <w:semiHidden/>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1075</Words>
  <Characters>1099</Characters>
  <Lines>8</Lines>
  <Paragraphs>2</Paragraphs>
  <TotalTime>2</TotalTime>
  <ScaleCrop>false</ScaleCrop>
  <LinksUpToDate>false</LinksUpToDate>
  <CharactersWithSpaces>1115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2022-05-20T08:38:00Z</dcterms:created>
  <dc:creator>叶老师</dc:creator>
  <cp:lastModifiedBy>白开水</cp:lastModifiedBy>
  <dcterms:modified xsi:type="dcterms:W3CDTF">2022-06-30T09:58:02Z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79315BD5AC68424697FC5B1D331BFC6C</vt:lpwstr>
  </property>
</Properties>
</file>