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default" w:ascii="黑体" w:hAnsi="Calibri" w:eastAsia="黑体"/>
          <w:sz w:val="36"/>
          <w:szCs w:val="32"/>
          <w:lang w:val="en-US" w:eastAsia="zh-CN"/>
        </w:rPr>
      </w:pPr>
      <w:r>
        <w:rPr>
          <w:rFonts w:hint="eastAsia" w:ascii="黑体" w:hAnsi="Calibri" w:eastAsia="黑体"/>
          <w:sz w:val="36"/>
          <w:szCs w:val="32"/>
          <w:lang w:val="en-US" w:eastAsia="zh-CN"/>
        </w:rPr>
        <w:t>深圳实验学校中学部教学楼大门口电子屏更新项目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2013</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二二年</w:t>
      </w:r>
      <w:r>
        <w:rPr>
          <w:rFonts w:hint="eastAsia" w:ascii="黑体" w:hAnsi="华文中宋" w:eastAsia="黑体" w:cs="Arial"/>
          <w:sz w:val="32"/>
          <w:szCs w:val="32"/>
          <w:lang w:val="en-US" w:eastAsia="zh-CN"/>
        </w:rPr>
        <w:t>五</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五</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2013</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深圳实验学校中学部教学楼大门口电子屏更新项目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w:t>
            </w:r>
            <w:r>
              <w:rPr>
                <w:rFonts w:hint="eastAsia" w:ascii="宋体" w:hAnsi="宋体"/>
                <w:szCs w:val="21"/>
                <w:lang w:val="en-US" w:eastAsia="zh-CN"/>
              </w:rPr>
              <w:t>关键页复印件</w:t>
            </w:r>
            <w:r>
              <w:rPr>
                <w:rFonts w:hint="eastAsia" w:ascii="宋体" w:hAnsi="宋体"/>
                <w:szCs w:val="21"/>
              </w:rPr>
              <w:t>，否则不得分。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开标一览表"/>
      <w:bookmarkEnd w:id="3"/>
      <w:bookmarkStart w:id="4" w:name="bt其他资料由投标人自定"/>
      <w:bookmarkEnd w:id="4"/>
      <w:bookmarkStart w:id="5" w:name="bt投标报价汇总表"/>
      <w:bookmarkEnd w:id="5"/>
      <w:bookmarkStart w:id="6" w:name="bt投标函"/>
      <w:bookmarkEnd w:id="6"/>
      <w:bookmarkStart w:id="7" w:name="合同格式"/>
      <w:bookmarkEnd w:id="7"/>
      <w:bookmarkStart w:id="8" w:name="bt项目管理班子配备情况"/>
      <w:bookmarkEnd w:id="8"/>
      <w:bookmarkStart w:id="9" w:name="bt投标人须知"/>
      <w:bookmarkEnd w:id="9"/>
      <w:bookmarkStart w:id="10" w:name="bt技术标投标文件格式"/>
      <w:bookmarkEnd w:id="10"/>
      <w:bookmarkStart w:id="11" w:name="bt合同条款及格式"/>
      <w:bookmarkEnd w:id="11"/>
      <w:bookmarkStart w:id="12" w:name="bt其他资料2"/>
      <w:bookmarkEnd w:id="12"/>
      <w:bookmarkStart w:id="13" w:name="bt本工程承诺书"/>
      <w:bookmarkEnd w:id="13"/>
      <w:bookmarkStart w:id="14" w:name="bt投标文件签署授权委托书"/>
      <w:bookmarkEnd w:id="14"/>
      <w:bookmarkStart w:id="15" w:name="bt合同格式"/>
      <w:bookmarkEnd w:id="15"/>
      <w:bookmarkStart w:id="16" w:name="bt合同条款"/>
      <w:bookmarkEnd w:id="16"/>
      <w:bookmarkStart w:id="17" w:name="bt商务标投标文件格式"/>
      <w:bookmarkEnd w:id="17"/>
      <w:bookmarkStart w:id="18" w:name="bt说明"/>
      <w:bookmarkEnd w:id="18"/>
      <w:bookmarkStart w:id="19" w:name="bt投标人情况介绍"/>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60560625"/>
      <w:bookmarkStart w:id="21" w:name="_Toc73521635"/>
      <w:bookmarkStart w:id="22" w:name="_Toc73518117"/>
      <w:bookmarkStart w:id="23" w:name="_Toc101074876"/>
      <w:bookmarkStart w:id="24" w:name="_Toc73517639"/>
      <w:bookmarkStart w:id="25" w:name="_Toc100052364"/>
      <w:bookmarkStart w:id="26" w:name="_Toc73521547"/>
      <w:bookmarkStart w:id="27" w:name="_Toc60631620"/>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深圳实验学校中学部教学楼大门口电子屏更新项目</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1047"/>
        <w:gridCol w:w="2550"/>
        <w:gridCol w:w="734"/>
        <w:gridCol w:w="756"/>
        <w:gridCol w:w="1630"/>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51"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4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5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734"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56"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3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63"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户外P6全彩</w:t>
            </w:r>
          </w:p>
        </w:tc>
        <w:tc>
          <w:tcPr>
            <w:tcW w:w="734"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16.42</w:t>
            </w:r>
          </w:p>
        </w:tc>
        <w:tc>
          <w:tcPr>
            <w:tcW w:w="75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w:t>
            </w:r>
          </w:p>
        </w:tc>
        <w:tc>
          <w:tcPr>
            <w:tcW w:w="1630"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99540</w:t>
            </w: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2</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发送卡TS802D</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张</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3</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接收卡908M32</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13</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张</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4</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电源</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70</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5</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视频处理器X200</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6</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不锈钢支撑架</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7</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户外钢结构</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16.42</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8</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包边</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9</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挡水板</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功放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MP600PIII</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音箱</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DSP258</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2</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04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电缆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RVV3*4</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80</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047"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辅材</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51"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047" w:type="dxa"/>
            <w:noWrap w:val="0"/>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2550" w:type="dxa"/>
            <w:noWrap w:val="0"/>
            <w:vAlign w:val="center"/>
          </w:tcPr>
          <w:p>
            <w:pPr>
              <w:keepNext w:val="0"/>
              <w:keepLines w:val="0"/>
              <w:widowControl/>
              <w:suppressLineNumbers w:val="0"/>
              <w:jc w:val="center"/>
              <w:textAlignment w:val="center"/>
              <w:rPr>
                <w:rFonts w:hint="eastAsia"/>
                <w:color w:val="000000"/>
                <w:szCs w:val="21"/>
              </w:rPr>
            </w:pPr>
            <w:r>
              <w:rPr>
                <w:rFonts w:hint="eastAsia" w:ascii="微软雅黑" w:hAnsi="微软雅黑" w:eastAsia="微软雅黑" w:cs="微软雅黑"/>
                <w:i w:val="0"/>
                <w:iCs w:val="0"/>
                <w:color w:val="000000"/>
                <w:kern w:val="0"/>
                <w:sz w:val="20"/>
                <w:szCs w:val="20"/>
                <w:u w:val="none"/>
                <w:lang w:val="en-US" w:eastAsia="zh-CN" w:bidi="ar"/>
              </w:rPr>
              <w:t>施工</w:t>
            </w:r>
          </w:p>
        </w:tc>
        <w:tc>
          <w:tcPr>
            <w:tcW w:w="734" w:type="dxa"/>
            <w:noWrap w:val="0"/>
            <w:vAlign w:val="center"/>
          </w:tcPr>
          <w:p>
            <w:pPr>
              <w:keepNext w:val="0"/>
              <w:keepLines w:val="0"/>
              <w:widowControl/>
              <w:suppressLineNumbers w:val="0"/>
              <w:jc w:val="center"/>
              <w:textAlignment w:val="center"/>
              <w:rPr>
                <w:color w:val="000000"/>
                <w:szCs w:val="21"/>
              </w:rPr>
            </w:pPr>
            <w:r>
              <w:rPr>
                <w:rFonts w:hint="eastAsia" w:ascii="微软雅黑" w:hAnsi="微软雅黑" w:eastAsia="微软雅黑" w:cs="微软雅黑"/>
                <w:i w:val="0"/>
                <w:iCs w:val="0"/>
                <w:color w:val="000000"/>
                <w:kern w:val="0"/>
                <w:sz w:val="20"/>
                <w:szCs w:val="20"/>
                <w:u w:val="none"/>
                <w:lang w:val="en-US" w:eastAsia="zh-CN" w:bidi="ar"/>
              </w:rPr>
              <w:t>1</w:t>
            </w:r>
          </w:p>
        </w:tc>
        <w:tc>
          <w:tcPr>
            <w:tcW w:w="756"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1630" w:type="dxa"/>
            <w:vMerge w:val="continue"/>
            <w:noWrap w:val="0"/>
            <w:vAlign w:val="center"/>
          </w:tcPr>
          <w:p>
            <w:pPr>
              <w:jc w:val="center"/>
              <w:rPr>
                <w:rFonts w:hint="eastAsia" w:ascii="宋体" w:hAnsi="宋体" w:cs="宋体"/>
                <w:b/>
                <w:bCs w:val="0"/>
                <w:szCs w:val="21"/>
                <w:lang w:val="en-US" w:eastAsia="zh-CN"/>
              </w:rPr>
            </w:pPr>
          </w:p>
        </w:tc>
        <w:tc>
          <w:tcPr>
            <w:tcW w:w="1363"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2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1907"/>
        <w:gridCol w:w="5569"/>
        <w:gridCol w:w="123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63" w:hRule="atLeast"/>
          <w:jc w:val="center"/>
        </w:trPr>
        <w:tc>
          <w:tcPr>
            <w:tcW w:w="513"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cs="宋体"/>
                <w:b/>
                <w:bCs/>
                <w:color w:val="auto"/>
                <w:szCs w:val="21"/>
                <w:lang w:val="zh-CN"/>
              </w:rPr>
            </w:pPr>
            <w:r>
              <w:rPr>
                <w:rFonts w:hint="eastAsia" w:ascii="宋体" w:cs="宋体"/>
                <w:b/>
                <w:bCs/>
                <w:color w:val="auto"/>
                <w:szCs w:val="21"/>
                <w:lang w:val="zh-CN"/>
              </w:rPr>
              <w:t>序号</w:t>
            </w:r>
          </w:p>
        </w:tc>
        <w:tc>
          <w:tcPr>
            <w:tcW w:w="1907"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b/>
                <w:bCs/>
                <w:color w:val="auto"/>
                <w:szCs w:val="21"/>
              </w:rPr>
            </w:pPr>
            <w:r>
              <w:rPr>
                <w:rFonts w:hint="eastAsia" w:ascii="宋体" w:cs="宋体"/>
                <w:b/>
                <w:bCs/>
                <w:color w:val="auto"/>
                <w:szCs w:val="21"/>
                <w:lang w:val="zh-CN"/>
              </w:rPr>
              <w:t>货物名称</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ascii="宋体" w:cs="宋体"/>
                <w:b/>
                <w:bCs/>
                <w:color w:val="auto"/>
                <w:szCs w:val="21"/>
                <w:lang w:val="zh-CN"/>
              </w:rPr>
            </w:pPr>
            <w:r>
              <w:rPr>
                <w:rFonts w:hint="eastAsia" w:ascii="宋体" w:cs="宋体"/>
                <w:b/>
                <w:bCs/>
                <w:color w:val="auto"/>
                <w:szCs w:val="21"/>
                <w:lang w:val="zh-CN"/>
              </w:rPr>
              <w:t>招标技术</w:t>
            </w:r>
            <w:r>
              <w:rPr>
                <w:rFonts w:ascii="宋体" w:cs="宋体"/>
                <w:b/>
                <w:bCs/>
                <w:color w:val="auto"/>
                <w:szCs w:val="21"/>
                <w:lang w:val="zh-CN"/>
              </w:rPr>
              <w:t>要求</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eastAsia="宋体" w:cs="宋体"/>
                <w:b/>
                <w:bCs/>
                <w:szCs w:val="21"/>
                <w:lang w:val="en-US" w:eastAsia="zh-CN"/>
              </w:rPr>
            </w:pPr>
            <w:r>
              <w:rPr>
                <w:rFonts w:hint="eastAsia" w:ascii="宋体" w:cs="宋体"/>
                <w:b/>
                <w:bCs/>
                <w:szCs w:val="21"/>
                <w:lang w:val="en-US" w:eastAsia="zh-CN"/>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1</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户外P6全彩</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产品型号：户外防水P6工程板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像素点距：6mm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灯珠品牌：弘晟（2727纯铜封装大芯片）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驱动芯片：集创北方2037高刷芯片（1920Hz刷新率）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像素组成：SMD表贴三合一</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产品亮度：≤5500CD/</w:t>
            </w:r>
            <w:r>
              <w:rPr>
                <w:rStyle w:val="76"/>
                <w:lang w:val="en-US" w:eastAsia="zh-CN" w:bidi="ar"/>
              </w:rPr>
              <w:t>㎡</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物理密度：27648点/</w:t>
            </w:r>
            <w:r>
              <w:rPr>
                <w:rStyle w:val="76"/>
                <w:lang w:val="en-US" w:eastAsia="zh-CN" w:bidi="ar"/>
              </w:rPr>
              <w:t>㎡</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模组尺寸(mm)：192mm×192mm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显示尺寸(mm)：10.07m×1.63m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屏体分辨率：1664点×256点=425984点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安装方式：简易箱体壁挂固装</w:t>
            </w:r>
          </w:p>
        </w:tc>
        <w:tc>
          <w:tcPr>
            <w:tcW w:w="1239"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备注：</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1、安装高度距离地面4米，报价前先踏勘现场。</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2、安装显示屏墙体立面有弧度，需用不锈钢支撑架找平，并用铝塑板封装；施工方设计好图纸，交由使用单位审核后方能施工。</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3、显示屏上方安装独立固定挡水不锈钢板，飘出部分大于屏的深度，板压成所需形状，雨水从两头分流。</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4、用3*4电缆分两组供电；电脑（校方提供）及视频处理器设在门卫室。</w:t>
            </w:r>
          </w:p>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5、广播功放安装在门卫室，音箱安装在屏体的两边。</w:t>
            </w:r>
            <w:bookmarkStart w:id="30" w:name="_GoBack"/>
            <w:bookmarkEnd w:id="3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2</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发送卡TS802D</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SV4是专为LED全色显示屏开发的同步控制器发送卡。通过DVI/HDMI线与计算机带有DVI/HDMI输出的显卡连接，或连接视频处理器的DVI/HDMI输出。该卡有四个网线输出口，每个输出口均可独立输出任意位置的内容，支持所有显示模式。支持各类实像素、虚拟像素/三角虚拟屏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2、最大支持2048x1152的显示器分辨率，支持1024x768，1280x1024,1440x900,1600x900,1600x1050,1920x1080,1920x1200,2048x1152.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3、四网口输出。四个输出口可以独立使用，也可以设置为相同输出，进行冗余。每个输出网口可控制65万点范围内的任意宽度高度组合。四个网口输出最大可支持260万点显示屏。可任意设置所控制的行列数。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4、USB接口控制,可级联多台进行统一控制；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5、采用大规模FPGA进行处理，千兆网线传输技术。</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3</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接收卡908M32</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接收卡独家密封设计：灰尘产生静电，密封设计可有效防止灰尘进入，减少受潮几率，以及施工容错率，不会因为施工意外而为后期的运行造成安全隐患，有效减少电子产品的故障率和提升使用寿命，以及稳定性。</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支持静态屏、1/2~1/32扫之间的任意扫描类型,最高65536级灰度</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4</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电源</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200W5V40A超薄</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5</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视频处理器X200</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·支持丰富的数字信号接口，包括1路DVI，3路HDMI</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·最大输入分辨率1920*1200@60Hz，支持分辨率任意设置；</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·最大带载130万像素，最宽可达8192点，或最高可达4096点；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·支持视频源任意切换，任意缩放；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·支持三画面显示，位置、大小可自由调节；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·双USB2.0高速通讯接口，用于电脑调试和主控间任意级联；</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·支持亮度、色温调节，支持对比度、色调、饱和度调节；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·支持低亮高灰；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·支持视睿讯全系列接收卡、多功能卡、光纤收发器。</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6</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不锈钢支撑架</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墙面弧度找平：采用40*40mm和40*25mm  2.0mm厚通钢制作，并和整个屏体封装一致，防锈蚀、防水处理。</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7</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户外钢结构</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显示模块磁吸用，定制镀锌钢结构，厚度2.0mm。</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微软雅黑" w:hAnsi="微软雅黑" w:eastAsia="微软雅黑" w:cs="微软雅黑"/>
                <w:i w:val="0"/>
                <w:iCs w:val="0"/>
                <w:color w:val="000000"/>
                <w:kern w:val="0"/>
                <w:sz w:val="20"/>
                <w:szCs w:val="20"/>
                <w:u w:val="none"/>
                <w:lang w:val="en-US" w:eastAsia="zh-CN" w:bidi="ar"/>
              </w:rPr>
              <w:t>8</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包边</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304不锈钢板，厚度1.5mm，防锈蚀、防水处理。</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9</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挡水板</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304不锈钢板，厚度1.5mm，防锈蚀、防水处理。</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功放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MP600PIII</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定压带前置，3路话筒输入，2路辅助输入，1路辅助输出；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100V,70V定压，250W，支持4Ω定阻（平衡，不接地）输出</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音箱</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DSP258</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喇叭单元：8"×2，1"×1</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频响范围：80Hz-16,000Hz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灵敏度：92dB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最大声压级：111dB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额定功率：80W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尺 寸(L×W×H)：250×230×665mm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净 重：13kg，</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含线材</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电缆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RVV3*4</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无氧铜芯，聚乙烯护套</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辅材</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含漏电开关、线槽等</w:t>
            </w:r>
          </w:p>
        </w:tc>
        <w:tc>
          <w:tcPr>
            <w:tcW w:w="1239" w:type="dxa"/>
            <w:vMerge w:val="continue"/>
            <w:tcBorders>
              <w:left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微软雅黑" w:hAnsi="微软雅黑" w:eastAsia="微软雅黑" w:cs="微软雅黑"/>
                <w:i w:val="0"/>
                <w:iCs w:val="0"/>
                <w:color w:val="000000"/>
                <w:kern w:val="0"/>
                <w:sz w:val="20"/>
                <w:szCs w:val="20"/>
                <w:u w:val="none"/>
                <w:lang w:val="en-US" w:eastAsia="zh-CN" w:bidi="ar"/>
              </w:rPr>
              <w:t>施工</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含施工、安装、调试、保险、器材租赁等，质保期2年</w:t>
            </w:r>
          </w:p>
        </w:tc>
        <w:tc>
          <w:tcPr>
            <w:tcW w:w="1239" w:type="dxa"/>
            <w:vMerge w:val="continue"/>
            <w:tcBorders>
              <w:left w:val="single" w:color="auto" w:sz="4" w:space="0"/>
              <w:bottom w:val="single" w:color="auto" w:sz="4" w:space="0"/>
              <w:right w:val="single" w:color="auto" w:sz="4" w:space="0"/>
            </w:tcBorders>
            <w:noWrap w:val="0"/>
            <w:vAlign w:val="center"/>
          </w:tcPr>
          <w:p>
            <w:pPr>
              <w:jc w:val="both"/>
              <w:rPr>
                <w:rFonts w:hint="eastAsia"/>
                <w:lang w:val="en-US" w:eastAsia="zh-CN"/>
              </w:rPr>
            </w:pP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33562ADE"/>
    <w:rsid w:val="33F52CFD"/>
    <w:rsid w:val="384055D4"/>
    <w:rsid w:val="3F4113F9"/>
    <w:rsid w:val="40A404FA"/>
    <w:rsid w:val="425060F2"/>
    <w:rsid w:val="45847BA5"/>
    <w:rsid w:val="46410D56"/>
    <w:rsid w:val="469E203D"/>
    <w:rsid w:val="49E80350"/>
    <w:rsid w:val="4BB43D8C"/>
    <w:rsid w:val="4DBA22C3"/>
    <w:rsid w:val="52423785"/>
    <w:rsid w:val="56077DC5"/>
    <w:rsid w:val="5D7563F9"/>
    <w:rsid w:val="603D641A"/>
    <w:rsid w:val="606825F4"/>
    <w:rsid w:val="617A743E"/>
    <w:rsid w:val="62D3439E"/>
    <w:rsid w:val="63C00196"/>
    <w:rsid w:val="66F45EB8"/>
    <w:rsid w:val="697406AA"/>
    <w:rsid w:val="69782474"/>
    <w:rsid w:val="6B126E3A"/>
    <w:rsid w:val="6B97436A"/>
    <w:rsid w:val="6C11369E"/>
    <w:rsid w:val="6DC17C96"/>
    <w:rsid w:val="6F194F50"/>
    <w:rsid w:val="71FEDFB2"/>
    <w:rsid w:val="73210D6E"/>
    <w:rsid w:val="73B91B46"/>
    <w:rsid w:val="78A10217"/>
    <w:rsid w:val="795A6BAA"/>
    <w:rsid w:val="79C07B41"/>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 w:type="character" w:customStyle="1" w:styleId="76">
    <w:name w:val="font61"/>
    <w:basedOn w:val="41"/>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19</Pages>
  <Words>9366</Words>
  <Characters>9763</Characters>
  <Lines>80</Lines>
  <Paragraphs>22</Paragraphs>
  <TotalTime>1</TotalTime>
  <ScaleCrop>false</ScaleCrop>
  <LinksUpToDate>false</LinksUpToDate>
  <CharactersWithSpaces>11257</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2022-07-21T02:33:29Z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BB87CA5906FB4AC483E17446EA6854A3</vt:lpwstr>
  </property>
</Properties>
</file>